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3A" w:rsidRDefault="006A1E3A" w:rsidP="006A1E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588C">
        <w:rPr>
          <w:rFonts w:ascii="Times New Roman" w:hAnsi="Times New Roman"/>
          <w:b/>
          <w:sz w:val="24"/>
        </w:rPr>
        <w:t>Аннотация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6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класса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основного общего образования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составлена в соответствии со следующими нормативно-правовыми документами:  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</w:t>
      </w:r>
      <w:hyperlink r:id="rId4" w:anchor="/document/99/902389617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5" w:anchor="/document/99/603340708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ФГОС основного общего образования, утвержденным </w:t>
      </w:r>
      <w:hyperlink r:id="rId6" w:anchor="/document/99/607175842/" w:tgtFrame="_self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31.05.2021 № 287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(далее – ФГОС ООО);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Примерной рабочей программой основного общего образования. Английский язык (5-9 класс),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Основной образовательной программой основного общего образования МБОУ «Северский лицей»;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по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) от 01.06.2022г);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) от 31.05.2022г);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) от 31.05.2022г);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об оценке образовательных достижений, обучающихся в МБОУ «Северский лицей» (утвержденным приказом № 136(о/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) от 31.05.2022г); 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) от 31.05.2022г)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естественно-научных</w:t>
      </w:r>
      <w:proofErr w:type="spellEnd"/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334618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цели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иноязычного образования становятся более сложными по структуре, формулируются на ценностном, когнитивном и прагматическом уровнях и, соответственно,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воплощаются в личностных,</w:t>
      </w:r>
      <w:r w:rsidR="00FB3550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метапредметных/общеучебных/универсальных и предметных результатах обучения.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социокультурная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компенсаторная компетенции: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чтении, письме);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 xml:space="preserve">языковая компетенция — овладение новыми языковыми средствами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lastRenderedPageBreak/>
        <w:t xml:space="preserve">(фонетическими, орфографическими, лексическими, грамматическими) в соответствии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c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социокультурная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Pr="00334618">
        <w:rPr>
          <w:rFonts w:ascii="Cambria" w:eastAsia="Cambria" w:hAnsi="Cambria" w:cs="Cambria"/>
          <w:sz w:val="20"/>
          <w:szCs w:val="20"/>
        </w:rPr>
        <w:t xml:space="preserve">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—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ab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A1E3A" w:rsidRPr="00334618" w:rsidRDefault="006A1E3A" w:rsidP="006A1E3A">
      <w:pPr>
        <w:widowControl w:val="0"/>
        <w:tabs>
          <w:tab w:val="left" w:pos="344"/>
        </w:tabs>
        <w:autoSpaceDE w:val="0"/>
        <w:autoSpaceDN w:val="0"/>
        <w:spacing w:before="1" w:after="0" w:line="240" w:lineRule="auto"/>
        <w:ind w:left="343" w:right="117" w:hanging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6A1E3A" w:rsidRPr="00334618" w:rsidRDefault="006A1E3A" w:rsidP="006A1E3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В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6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классе на изучение английского языка выделяется 102 часа (3 часа в неделю). </w:t>
      </w:r>
      <w:r w:rsidRPr="00334618">
        <w:rPr>
          <w:rFonts w:ascii="Times New Roman" w:eastAsia="Cambria" w:hAnsi="Times New Roman"/>
          <w:sz w:val="24"/>
          <w:szCs w:val="24"/>
        </w:rPr>
        <w:t>Контрольных работ – 11</w:t>
      </w:r>
      <w:r w:rsidRPr="00334618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Cambria" w:hAnsi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>
        <w:rPr>
          <w:rFonts w:ascii="Times New Roman" w:eastAsia="Cambria" w:hAnsi="Times New Roman"/>
          <w:sz w:val="24"/>
          <w:szCs w:val="24"/>
        </w:rPr>
        <w:t>итогового теста</w:t>
      </w:r>
      <w:r w:rsidRPr="00334618">
        <w:rPr>
          <w:rFonts w:ascii="Times New Roman" w:eastAsia="Cambria" w:hAnsi="Times New Roman"/>
          <w:sz w:val="24"/>
          <w:szCs w:val="24"/>
        </w:rPr>
        <w:t xml:space="preserve"> по формированию функциональной грамотности и УУД.</w:t>
      </w:r>
    </w:p>
    <w:p w:rsidR="006A1E3A" w:rsidRPr="00334618" w:rsidRDefault="006A1E3A" w:rsidP="006A1E3A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Программа обеспечена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учебником: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Учебник.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«Просвещение», 2013</w:t>
      </w:r>
      <w:r w:rsidRPr="0033461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34618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>, 2021 г.</w:t>
      </w:r>
    </w:p>
    <w:p w:rsidR="006A1E3A" w:rsidRPr="00334618" w:rsidRDefault="006A1E3A" w:rsidP="006A1E3A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Контрольно-измерительные материалы: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Контрольные задания.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класс. М: Издательство «Просвещение».</w:t>
      </w:r>
    </w:p>
    <w:p w:rsidR="006A1E3A" w:rsidRPr="00334618" w:rsidRDefault="006A1E3A" w:rsidP="006A1E3A">
      <w:pPr>
        <w:widowControl w:val="0"/>
        <w:tabs>
          <w:tab w:val="left" w:pos="0"/>
          <w:tab w:val="left" w:pos="344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Методическое пособие для учителя:</w:t>
      </w:r>
    </w:p>
    <w:p w:rsidR="006A1E3A" w:rsidRPr="00334618" w:rsidRDefault="006A1E3A" w:rsidP="006A1E3A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 xml:space="preserve">Ю.Е. Ваулина, Д. Дули, О.Е. </w:t>
      </w:r>
      <w:proofErr w:type="spellStart"/>
      <w:r w:rsidRPr="00334618">
        <w:rPr>
          <w:rFonts w:ascii="Times New Roman" w:eastAsia="Times New Roman" w:hAnsi="Times New Roman"/>
          <w:sz w:val="24"/>
          <w:szCs w:val="24"/>
        </w:rPr>
        <w:t>Подоляко</w:t>
      </w:r>
      <w:proofErr w:type="spellEnd"/>
      <w:r w:rsidRPr="00334618">
        <w:rPr>
          <w:rFonts w:ascii="Times New Roman" w:eastAsia="Times New Roman" w:hAnsi="Times New Roman"/>
          <w:sz w:val="24"/>
          <w:szCs w:val="24"/>
        </w:rPr>
        <w:t xml:space="preserve">, В. Эванс   Английский язык. Книга для учителя.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класс М: Издательство «Просвещение», 2013 г.</w:t>
      </w:r>
    </w:p>
    <w:p w:rsidR="006A1E3A" w:rsidRPr="00334618" w:rsidRDefault="006A1E3A" w:rsidP="006A1E3A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программе воспитания МБОУ «Северский лицей».</w:t>
      </w:r>
    </w:p>
    <w:p w:rsidR="006A1E3A" w:rsidRPr="00A2588C" w:rsidRDefault="006A1E3A" w:rsidP="006A1E3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2588C">
        <w:rPr>
          <w:rFonts w:ascii="Times New Roman" w:hAnsi="Times New Roman"/>
          <w:b/>
          <w:i/>
          <w:kern w:val="2"/>
          <w:sz w:val="24"/>
        </w:rPr>
        <w:t>Приложение.</w:t>
      </w:r>
      <w:r w:rsidRPr="00A2588C">
        <w:rPr>
          <w:rFonts w:ascii="Times New Roman" w:hAnsi="Times New Roman"/>
          <w:kern w:val="2"/>
          <w:sz w:val="24"/>
        </w:rPr>
        <w:t xml:space="preserve"> КТП в </w:t>
      </w:r>
      <w:proofErr w:type="spellStart"/>
      <w:r w:rsidRPr="00A2588C">
        <w:rPr>
          <w:rFonts w:ascii="Times New Roman" w:hAnsi="Times New Roman"/>
          <w:kern w:val="2"/>
          <w:sz w:val="24"/>
        </w:rPr>
        <w:t>Excel</w:t>
      </w:r>
      <w:proofErr w:type="spellEnd"/>
      <w:r w:rsidRPr="00A2588C">
        <w:rPr>
          <w:rFonts w:ascii="Times New Roman" w:hAnsi="Times New Roman"/>
          <w:b/>
          <w:sz w:val="24"/>
        </w:rPr>
        <w:tab/>
      </w:r>
    </w:p>
    <w:p w:rsidR="00727A4C" w:rsidRDefault="00727A4C"/>
    <w:sectPr w:rsidR="00727A4C" w:rsidSect="00512D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3A"/>
    <w:rsid w:val="002B35F9"/>
    <w:rsid w:val="00400178"/>
    <w:rsid w:val="004C64BF"/>
    <w:rsid w:val="006A1E3A"/>
    <w:rsid w:val="00727A4C"/>
    <w:rsid w:val="00910B19"/>
    <w:rsid w:val="00CB0BDA"/>
    <w:rsid w:val="00F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A"/>
    <w:pPr>
      <w:spacing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35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5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5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5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5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5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5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5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5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3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3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35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35F9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B35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B35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35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B35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35F9"/>
    <w:rPr>
      <w:b/>
      <w:bCs/>
      <w:spacing w:val="0"/>
    </w:rPr>
  </w:style>
  <w:style w:type="character" w:styleId="a9">
    <w:name w:val="Emphasis"/>
    <w:uiPriority w:val="20"/>
    <w:qFormat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35F9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B35F9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B35F9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B35F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35F9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35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3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35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35F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35F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35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35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1085</Words>
  <Characters>6191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2023-06-05T13:56:00Z</dcterms:created>
  <dcterms:modified xsi:type="dcterms:W3CDTF">2023-06-20T12:14:00Z</dcterms:modified>
</cp:coreProperties>
</file>