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F" w:rsidRPr="00D15D0F" w:rsidRDefault="00D15D0F" w:rsidP="00D1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5D0F">
        <w:rPr>
          <w:rFonts w:ascii="Times New Roman" w:hAnsi="Times New Roman" w:cs="Times New Roman"/>
          <w:b/>
          <w:sz w:val="28"/>
          <w:szCs w:val="28"/>
        </w:rPr>
        <w:t>Сравнительный анализ данных психолого</w:t>
      </w:r>
      <w:r w:rsidR="00473498" w:rsidRPr="00D15D0F">
        <w:rPr>
          <w:rFonts w:ascii="Times New Roman" w:hAnsi="Times New Roman" w:cs="Times New Roman"/>
          <w:b/>
          <w:sz w:val="28"/>
          <w:szCs w:val="28"/>
        </w:rPr>
        <w:t>-педагогического</w:t>
      </w:r>
      <w:r w:rsidRPr="00D15D0F">
        <w:rPr>
          <w:rFonts w:ascii="Times New Roman" w:hAnsi="Times New Roman" w:cs="Times New Roman"/>
          <w:b/>
          <w:sz w:val="28"/>
          <w:szCs w:val="28"/>
        </w:rPr>
        <w:t xml:space="preserve"> мониторинга за 2013-2016 гг.</w:t>
      </w:r>
      <w:r w:rsidR="00FB5A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B5A28">
        <w:rPr>
          <w:rFonts w:ascii="Times New Roman" w:hAnsi="Times New Roman" w:cs="Times New Roman"/>
          <w:b/>
          <w:sz w:val="28"/>
          <w:szCs w:val="28"/>
        </w:rPr>
        <w:t>(составлен на основе ежегодных отчетов)</w:t>
      </w:r>
      <w:bookmarkStart w:id="0" w:name="_GoBack"/>
      <w:bookmarkEnd w:id="0"/>
    </w:p>
    <w:p w:rsidR="001135E1" w:rsidRDefault="00471069" w:rsidP="00B4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98">
        <w:rPr>
          <w:rFonts w:ascii="Times New Roman" w:hAnsi="Times New Roman" w:cs="Times New Roman"/>
          <w:sz w:val="28"/>
          <w:szCs w:val="28"/>
        </w:rPr>
        <w:t>В качестве о</w:t>
      </w:r>
      <w:r w:rsidR="00473498" w:rsidRPr="00241C98">
        <w:rPr>
          <w:rFonts w:ascii="Times New Roman" w:hAnsi="Times New Roman" w:cs="Times New Roman"/>
          <w:sz w:val="28"/>
          <w:szCs w:val="28"/>
        </w:rPr>
        <w:t>бъект</w:t>
      </w:r>
      <w:r w:rsidRPr="00241C98">
        <w:rPr>
          <w:rFonts w:ascii="Times New Roman" w:hAnsi="Times New Roman" w:cs="Times New Roman"/>
          <w:sz w:val="28"/>
          <w:szCs w:val="28"/>
        </w:rPr>
        <w:t>ов</w:t>
      </w:r>
      <w:r w:rsidR="00473498" w:rsidRPr="00241C98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="00C962BF">
        <w:rPr>
          <w:rFonts w:ascii="Times New Roman" w:hAnsi="Times New Roman" w:cs="Times New Roman"/>
          <w:sz w:val="28"/>
          <w:szCs w:val="28"/>
        </w:rPr>
        <w:t xml:space="preserve">в олимпиадном центре «Факел» </w:t>
      </w:r>
      <w:r w:rsidRPr="00241C98">
        <w:rPr>
          <w:rFonts w:ascii="Times New Roman" w:hAnsi="Times New Roman" w:cs="Times New Roman"/>
          <w:sz w:val="28"/>
          <w:szCs w:val="28"/>
        </w:rPr>
        <w:t>мы удерживаем</w:t>
      </w:r>
      <w:r w:rsidR="001135E1" w:rsidRPr="00241C98">
        <w:rPr>
          <w:rFonts w:ascii="Times New Roman" w:hAnsi="Times New Roman" w:cs="Times New Roman"/>
          <w:sz w:val="28"/>
          <w:szCs w:val="28"/>
        </w:rPr>
        <w:t>:</w:t>
      </w:r>
    </w:p>
    <w:p w:rsidR="00DC66FA" w:rsidRPr="00241C98" w:rsidRDefault="00DC66FA" w:rsidP="00B41EE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состояние здоровья</w:t>
      </w:r>
      <w:r w:rsidR="00DC7959" w:rsidRPr="00241C98">
        <w:rPr>
          <w:sz w:val="28"/>
          <w:szCs w:val="28"/>
        </w:rPr>
        <w:t xml:space="preserve"> </w:t>
      </w:r>
      <w:proofErr w:type="gramStart"/>
      <w:r w:rsidR="00DC7959" w:rsidRPr="00241C98">
        <w:rPr>
          <w:sz w:val="28"/>
          <w:szCs w:val="28"/>
        </w:rPr>
        <w:t>обучающихся</w:t>
      </w:r>
      <w:proofErr w:type="gramEnd"/>
      <w:r w:rsidR="0088067C">
        <w:rPr>
          <w:sz w:val="28"/>
          <w:szCs w:val="28"/>
        </w:rPr>
        <w:t>,</w:t>
      </w:r>
    </w:p>
    <w:p w:rsidR="001135E1" w:rsidRPr="00241C98" w:rsidRDefault="001135E1" w:rsidP="00B41EE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 xml:space="preserve">уровень </w:t>
      </w:r>
      <w:r w:rsidR="00AD3B3A" w:rsidRPr="00241C98">
        <w:rPr>
          <w:sz w:val="28"/>
          <w:szCs w:val="28"/>
        </w:rPr>
        <w:t>качественной успеваемости</w:t>
      </w:r>
      <w:r w:rsidRPr="00241C98">
        <w:rPr>
          <w:sz w:val="28"/>
          <w:szCs w:val="28"/>
        </w:rPr>
        <w:t>,</w:t>
      </w:r>
    </w:p>
    <w:p w:rsidR="001135E1" w:rsidRPr="00241C98" w:rsidRDefault="001135E1" w:rsidP="00B41EE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уровень сформированности  УУД (личностных, познавательных, регулятивных, коммуникативных),</w:t>
      </w:r>
      <w:r w:rsidR="00A86CB6">
        <w:rPr>
          <w:sz w:val="28"/>
          <w:szCs w:val="28"/>
        </w:rPr>
        <w:t xml:space="preserve"> заложенных во внедряемых ФГОС,</w:t>
      </w:r>
    </w:p>
    <w:p w:rsidR="001135E1" w:rsidRPr="00241C98" w:rsidRDefault="001135E1" w:rsidP="00B41EE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уровень организации образовательного процесса в школе «Развитие»,</w:t>
      </w:r>
    </w:p>
    <w:p w:rsidR="001135E1" w:rsidRDefault="001135E1" w:rsidP="00B41EE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 xml:space="preserve">уровень удовлетворенности </w:t>
      </w:r>
      <w:r w:rsidR="00120D9A" w:rsidRPr="00241C98">
        <w:rPr>
          <w:sz w:val="28"/>
          <w:szCs w:val="28"/>
        </w:rPr>
        <w:t>качеством образовательных услуг.</w:t>
      </w:r>
    </w:p>
    <w:p w:rsidR="00B41EE9" w:rsidRDefault="00B41EE9" w:rsidP="00B41EE9">
      <w:pPr>
        <w:pStyle w:val="a5"/>
        <w:ind w:left="106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10B630" wp14:editId="022A1E6B">
            <wp:extent cx="5643742" cy="3323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58" cy="3325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5D7" w:rsidRDefault="00BD64D9" w:rsidP="00B4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C98">
        <w:rPr>
          <w:rFonts w:ascii="Times New Roman" w:hAnsi="Times New Roman" w:cs="Times New Roman"/>
          <w:sz w:val="28"/>
          <w:szCs w:val="28"/>
        </w:rPr>
        <w:t xml:space="preserve">В процессе психолого-педагогического сопровождения были разработаны и апробированы Диагностические карты </w:t>
      </w:r>
      <w:r w:rsidR="005D11B7">
        <w:rPr>
          <w:rFonts w:ascii="Times New Roman" w:hAnsi="Times New Roman" w:cs="Times New Roman"/>
          <w:sz w:val="28"/>
          <w:szCs w:val="28"/>
        </w:rPr>
        <w:t>групп</w:t>
      </w:r>
      <w:r w:rsidRPr="00241C98">
        <w:rPr>
          <w:rFonts w:ascii="Times New Roman" w:hAnsi="Times New Roman" w:cs="Times New Roman"/>
          <w:sz w:val="28"/>
          <w:szCs w:val="28"/>
        </w:rPr>
        <w:t>, которые использу</w:t>
      </w:r>
      <w:r w:rsidR="00FF0A5E" w:rsidRPr="00241C98">
        <w:rPr>
          <w:rFonts w:ascii="Times New Roman" w:hAnsi="Times New Roman" w:cs="Times New Roman"/>
          <w:sz w:val="28"/>
          <w:szCs w:val="28"/>
        </w:rPr>
        <w:t>ются</w:t>
      </w:r>
      <w:r w:rsidRPr="00241C98">
        <w:rPr>
          <w:rFonts w:ascii="Times New Roman" w:hAnsi="Times New Roman" w:cs="Times New Roman"/>
          <w:sz w:val="28"/>
          <w:szCs w:val="28"/>
        </w:rPr>
        <w:t xml:space="preserve"> для </w:t>
      </w:r>
      <w:r w:rsidR="00FF0A5E" w:rsidRPr="00241C98">
        <w:rPr>
          <w:rFonts w:ascii="Times New Roman" w:hAnsi="Times New Roman" w:cs="Times New Roman"/>
          <w:sz w:val="28"/>
          <w:szCs w:val="28"/>
        </w:rPr>
        <w:t>осуществления</w:t>
      </w:r>
      <w:r w:rsidRPr="00241C98">
        <w:rPr>
          <w:rFonts w:ascii="Times New Roman" w:hAnsi="Times New Roman" w:cs="Times New Roman"/>
          <w:sz w:val="28"/>
          <w:szCs w:val="28"/>
        </w:rPr>
        <w:t xml:space="preserve"> индивидуального подхода к учащимся и для мониторинга развития их познавательных способностей, личностного роста и профессионального самоопределения. </w:t>
      </w:r>
    </w:p>
    <w:p w:rsidR="00B41EE9" w:rsidRDefault="00B41EE9" w:rsidP="00B4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"/>
        <w:gridCol w:w="1337"/>
        <w:gridCol w:w="543"/>
        <w:gridCol w:w="993"/>
        <w:gridCol w:w="1417"/>
        <w:gridCol w:w="1559"/>
        <w:gridCol w:w="709"/>
        <w:gridCol w:w="1134"/>
        <w:gridCol w:w="2494"/>
      </w:tblGrid>
      <w:tr w:rsidR="00B41EE9" w:rsidRPr="00B41EE9" w:rsidTr="00B41EE9">
        <w:trPr>
          <w:trHeight w:val="655"/>
        </w:trPr>
        <w:tc>
          <w:tcPr>
            <w:tcW w:w="4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Ф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. 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И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. 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учащихся</w:t>
            </w:r>
          </w:p>
        </w:tc>
        <w:tc>
          <w:tcPr>
            <w:tcW w:w="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Фактический</w:t>
            </w:r>
          </w:p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возраст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Темперамент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Состояние</w:t>
            </w:r>
          </w:p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здоровья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,</w:t>
            </w:r>
          </w:p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 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тип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 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хроник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gramStart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ФАМ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Ведущий</w:t>
            </w:r>
          </w:p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канал</w:t>
            </w:r>
          </w:p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восприятия</w:t>
            </w:r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Проблемы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 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индивид</w:t>
            </w:r>
            <w:proofErr w:type="gramStart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.</w:t>
            </w:r>
            <w:proofErr w:type="gramEnd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- </w:t>
            </w:r>
            <w:proofErr w:type="gramStart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п</w:t>
            </w:r>
            <w:proofErr w:type="gramEnd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сихолог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. </w:t>
            </w:r>
          </w:p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gramStart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характера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 (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мотивация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 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к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 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учебе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,</w:t>
            </w:r>
            <w:proofErr w:type="gramEnd"/>
          </w:p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тревожность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 xml:space="preserve">, </w:t>
            </w:r>
            <w:proofErr w:type="gramStart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с</w:t>
            </w:r>
            <w:proofErr w:type="gramEnd"/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/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оценка</w:t>
            </w:r>
            <w:r w:rsidRPr="00B41EE9">
              <w:rPr>
                <w:rFonts w:asciiTheme="majorHAnsi" w:eastAsia="Times New Roman" w:hAnsi="Trebuchet MS" w:cs="Times New Roman"/>
                <w:color w:val="FFFFFF"/>
                <w:kern w:val="24"/>
                <w:sz w:val="24"/>
                <w:szCs w:val="36"/>
                <w:lang w:eastAsia="ru-RU"/>
              </w:rPr>
              <w:t>)</w:t>
            </w:r>
          </w:p>
        </w:tc>
      </w:tr>
      <w:tr w:rsidR="00B41EE9" w:rsidRPr="00B41EE9" w:rsidTr="00B41EE9">
        <w:trPr>
          <w:trHeight w:val="418"/>
        </w:trPr>
        <w:tc>
          <w:tcPr>
            <w:tcW w:w="4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******** *********</w:t>
            </w:r>
          </w:p>
        </w:tc>
        <w:tc>
          <w:tcPr>
            <w:tcW w:w="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холерик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val="en-US" w:eastAsia="ru-RU"/>
              </w:rPr>
              <w:t>II</w:t>
            </w: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, нарушение осанки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>ПП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К, В, а</w:t>
            </w:r>
          </w:p>
        </w:tc>
        <w:tc>
          <w:tcPr>
            <w:tcW w:w="2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1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 xml:space="preserve">с/о </w:t>
            </w:r>
            <w:proofErr w:type="gramStart"/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>–а</w:t>
            </w:r>
            <w:proofErr w:type="gramEnd"/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>декватная, М-внешняя, избегание</w:t>
            </w:r>
          </w:p>
        </w:tc>
      </w:tr>
      <w:tr w:rsidR="00B41EE9" w:rsidRPr="00B41EE9" w:rsidTr="00B41EE9">
        <w:trPr>
          <w:trHeight w:val="20"/>
        </w:trPr>
        <w:tc>
          <w:tcPr>
            <w:tcW w:w="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************ ******</w:t>
            </w:r>
          </w:p>
        </w:tc>
        <w:tc>
          <w:tcPr>
            <w:tcW w:w="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Times New Roman" w:eastAsia="Times New Roman" w:hAnsi="Times New Roman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сангвиник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>ПП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А</w:t>
            </w:r>
            <w:proofErr w:type="gramStart"/>
            <w:r w:rsidRPr="00B41EE9">
              <w:rPr>
                <w:rFonts w:ascii="Arial" w:eastAsia="Times New Roman" w:hAnsi="Arial" w:cs="Times New Roman"/>
                <w:bCs/>
                <w:i/>
                <w:iCs/>
                <w:color w:val="5A160B"/>
                <w:kern w:val="24"/>
                <w:sz w:val="24"/>
                <w:szCs w:val="28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EE9" w:rsidRPr="00B41EE9" w:rsidRDefault="00B41EE9" w:rsidP="00D73A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 xml:space="preserve">с/о – завышена </w:t>
            </w:r>
            <w:proofErr w:type="gramStart"/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>М-</w:t>
            </w:r>
            <w:proofErr w:type="gramEnd"/>
            <w:r w:rsidRPr="00B41EE9">
              <w:rPr>
                <w:rFonts w:ascii="Arial" w:eastAsia="Times New Roman" w:hAnsi="Arial" w:cs="Times New Roman"/>
                <w:bCs/>
                <w:color w:val="5A160B"/>
                <w:kern w:val="24"/>
                <w:sz w:val="24"/>
                <w:szCs w:val="28"/>
                <w:lang w:eastAsia="ru-RU"/>
              </w:rPr>
              <w:t xml:space="preserve"> внешняя, престиж, благополучие</w:t>
            </w:r>
          </w:p>
        </w:tc>
      </w:tr>
    </w:tbl>
    <w:p w:rsidR="00B41EE9" w:rsidRDefault="00B41EE9" w:rsidP="00B4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6A3" w:rsidRDefault="00FF0A5E" w:rsidP="003B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9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376A3" w:rsidRPr="00241C98">
        <w:rPr>
          <w:rFonts w:ascii="Times New Roman" w:hAnsi="Times New Roman" w:cs="Times New Roman"/>
          <w:sz w:val="28"/>
          <w:szCs w:val="28"/>
        </w:rPr>
        <w:t>езультативност</w:t>
      </w:r>
      <w:r w:rsidRPr="00241C98">
        <w:rPr>
          <w:rFonts w:ascii="Times New Roman" w:hAnsi="Times New Roman" w:cs="Times New Roman"/>
          <w:sz w:val="28"/>
          <w:szCs w:val="28"/>
        </w:rPr>
        <w:t>ь</w:t>
      </w:r>
      <w:r w:rsidR="007376A3" w:rsidRPr="00241C98">
        <w:rPr>
          <w:rFonts w:ascii="Times New Roman" w:hAnsi="Times New Roman" w:cs="Times New Roman"/>
          <w:sz w:val="28"/>
          <w:szCs w:val="28"/>
        </w:rPr>
        <w:t xml:space="preserve"> </w:t>
      </w:r>
      <w:r w:rsidR="00473498" w:rsidRPr="00241C9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15D0F">
        <w:rPr>
          <w:rFonts w:ascii="Times New Roman" w:hAnsi="Times New Roman" w:cs="Times New Roman"/>
          <w:sz w:val="28"/>
          <w:szCs w:val="28"/>
        </w:rPr>
        <w:t>олимпиадного центра</w:t>
      </w:r>
      <w:r w:rsidR="00473498" w:rsidRPr="00241C98">
        <w:rPr>
          <w:rFonts w:ascii="Times New Roman" w:hAnsi="Times New Roman" w:cs="Times New Roman"/>
          <w:sz w:val="28"/>
          <w:szCs w:val="28"/>
        </w:rPr>
        <w:t xml:space="preserve"> «</w:t>
      </w:r>
      <w:r w:rsidR="00D15D0F">
        <w:rPr>
          <w:rFonts w:ascii="Times New Roman" w:hAnsi="Times New Roman" w:cs="Times New Roman"/>
          <w:sz w:val="28"/>
          <w:szCs w:val="28"/>
        </w:rPr>
        <w:t>Факел</w:t>
      </w:r>
      <w:r w:rsidR="00473498" w:rsidRPr="00241C98">
        <w:rPr>
          <w:rFonts w:ascii="Times New Roman" w:hAnsi="Times New Roman" w:cs="Times New Roman"/>
          <w:sz w:val="28"/>
          <w:szCs w:val="28"/>
        </w:rPr>
        <w:t xml:space="preserve">» </w:t>
      </w:r>
      <w:r w:rsidR="00120D9A" w:rsidRPr="00241C9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41C98">
        <w:rPr>
          <w:rFonts w:ascii="Times New Roman" w:hAnsi="Times New Roman" w:cs="Times New Roman"/>
          <w:sz w:val="28"/>
          <w:szCs w:val="28"/>
        </w:rPr>
        <w:t>определяется</w:t>
      </w:r>
      <w:r w:rsidR="007376A3" w:rsidRPr="00241C98">
        <w:rPr>
          <w:rFonts w:ascii="Times New Roman" w:hAnsi="Times New Roman" w:cs="Times New Roman"/>
          <w:sz w:val="28"/>
          <w:szCs w:val="28"/>
        </w:rPr>
        <w:t xml:space="preserve"> </w:t>
      </w:r>
      <w:r w:rsidR="00120D9A" w:rsidRPr="00241C98">
        <w:rPr>
          <w:rFonts w:ascii="Times New Roman" w:hAnsi="Times New Roman" w:cs="Times New Roman"/>
          <w:sz w:val="28"/>
          <w:szCs w:val="28"/>
        </w:rPr>
        <w:t>п</w:t>
      </w:r>
      <w:r w:rsidR="00473498" w:rsidRPr="00241C98">
        <w:rPr>
          <w:rFonts w:ascii="Times New Roman" w:hAnsi="Times New Roman" w:cs="Times New Roman"/>
          <w:sz w:val="28"/>
          <w:szCs w:val="28"/>
        </w:rPr>
        <w:t>о критериям:</w:t>
      </w:r>
    </w:p>
    <w:p w:rsidR="00473498" w:rsidRPr="00241C98" w:rsidRDefault="005A49A0" w:rsidP="00AD77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41C98">
        <w:rPr>
          <w:b/>
          <w:sz w:val="28"/>
          <w:szCs w:val="28"/>
        </w:rPr>
        <w:t xml:space="preserve">Первый. </w:t>
      </w:r>
      <w:r w:rsidR="00FD7632" w:rsidRPr="00241C98">
        <w:rPr>
          <w:sz w:val="28"/>
          <w:szCs w:val="28"/>
        </w:rPr>
        <w:t xml:space="preserve">Высокие результаты внеурочной деятельности </w:t>
      </w:r>
      <w:proofErr w:type="gramStart"/>
      <w:r w:rsidR="00FD7632" w:rsidRPr="00241C98">
        <w:rPr>
          <w:sz w:val="28"/>
          <w:szCs w:val="28"/>
        </w:rPr>
        <w:t>обучающихся</w:t>
      </w:r>
      <w:proofErr w:type="gramEnd"/>
      <w:r w:rsidR="00DC66FA" w:rsidRPr="00241C98">
        <w:rPr>
          <w:sz w:val="28"/>
          <w:szCs w:val="28"/>
        </w:rPr>
        <w:t xml:space="preserve">. </w:t>
      </w:r>
      <w:r w:rsidR="00FD7632" w:rsidRPr="00241C98">
        <w:rPr>
          <w:sz w:val="28"/>
          <w:szCs w:val="28"/>
        </w:rPr>
        <w:t xml:space="preserve"> </w:t>
      </w:r>
      <w:r w:rsidR="00DC66FA" w:rsidRPr="00241C98">
        <w:rPr>
          <w:sz w:val="28"/>
          <w:szCs w:val="28"/>
        </w:rPr>
        <w:t>О</w:t>
      </w:r>
      <w:r w:rsidR="00FD7632" w:rsidRPr="00241C98">
        <w:rPr>
          <w:sz w:val="28"/>
          <w:szCs w:val="28"/>
        </w:rPr>
        <w:t>цениваются по показателям</w:t>
      </w:r>
    </w:p>
    <w:p w:rsidR="00FD7632" w:rsidRPr="00241C98" w:rsidRDefault="0069233C" w:rsidP="00AD774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в</w:t>
      </w:r>
      <w:r w:rsidR="0088067C">
        <w:rPr>
          <w:sz w:val="28"/>
          <w:szCs w:val="28"/>
        </w:rPr>
        <w:t>овлеченность</w:t>
      </w:r>
      <w:r w:rsidR="00FD7632" w:rsidRPr="00241C98">
        <w:rPr>
          <w:sz w:val="28"/>
          <w:szCs w:val="28"/>
        </w:rPr>
        <w:t xml:space="preserve"> во внеурочную деятельность</w:t>
      </w:r>
      <w:r w:rsidR="00DC66FA" w:rsidRPr="00241C98">
        <w:rPr>
          <w:sz w:val="28"/>
          <w:szCs w:val="28"/>
        </w:rPr>
        <w:t>,</w:t>
      </w:r>
    </w:p>
    <w:p w:rsidR="00DC66FA" w:rsidRPr="00241C98" w:rsidRDefault="0069233C" w:rsidP="00AD774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динамик</w:t>
      </w:r>
      <w:r w:rsidR="0088067C">
        <w:rPr>
          <w:sz w:val="28"/>
          <w:szCs w:val="28"/>
        </w:rPr>
        <w:t>а</w:t>
      </w:r>
      <w:r w:rsidRPr="00241C98">
        <w:rPr>
          <w:sz w:val="28"/>
          <w:szCs w:val="28"/>
        </w:rPr>
        <w:t xml:space="preserve"> участия в академически</w:t>
      </w:r>
      <w:r w:rsidR="00DC66FA" w:rsidRPr="00241C98">
        <w:rPr>
          <w:sz w:val="28"/>
          <w:szCs w:val="28"/>
        </w:rPr>
        <w:t>х и неакадемических олимпиадах,</w:t>
      </w:r>
    </w:p>
    <w:p w:rsidR="0069233C" w:rsidRPr="00241C98" w:rsidRDefault="0069233C" w:rsidP="00C5611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наличи</w:t>
      </w:r>
      <w:r w:rsidR="0088067C">
        <w:rPr>
          <w:sz w:val="28"/>
          <w:szCs w:val="28"/>
        </w:rPr>
        <w:t>е</w:t>
      </w:r>
      <w:r w:rsidRPr="00241C98">
        <w:rPr>
          <w:sz w:val="28"/>
          <w:szCs w:val="28"/>
        </w:rPr>
        <w:t xml:space="preserve"> достижений в олимпиадах и конкурсах</w:t>
      </w:r>
      <w:r w:rsidR="00DC66FA" w:rsidRPr="00241C98">
        <w:rPr>
          <w:sz w:val="28"/>
          <w:szCs w:val="28"/>
        </w:rPr>
        <w:t>,</w:t>
      </w:r>
    </w:p>
    <w:p w:rsidR="0069233C" w:rsidRDefault="0069233C" w:rsidP="00C5611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участи</w:t>
      </w:r>
      <w:r w:rsidR="0088067C">
        <w:rPr>
          <w:sz w:val="28"/>
          <w:szCs w:val="28"/>
        </w:rPr>
        <w:t>е</w:t>
      </w:r>
      <w:r w:rsidRPr="00241C98">
        <w:rPr>
          <w:sz w:val="28"/>
          <w:szCs w:val="28"/>
        </w:rPr>
        <w:t xml:space="preserve"> в образовательных событиях и конференциях</w:t>
      </w:r>
      <w:r w:rsidR="00DC66FA" w:rsidRPr="00241C98">
        <w:rPr>
          <w:sz w:val="28"/>
          <w:szCs w:val="28"/>
        </w:rPr>
        <w:t>.</w:t>
      </w:r>
    </w:p>
    <w:p w:rsidR="00B41EE9" w:rsidRDefault="00B41EE9" w:rsidP="00B41EE9">
      <w:pPr>
        <w:pStyle w:val="a5"/>
        <w:jc w:val="both"/>
        <w:rPr>
          <w:sz w:val="28"/>
          <w:szCs w:val="28"/>
        </w:rPr>
      </w:pPr>
    </w:p>
    <w:p w:rsidR="00B41EE9" w:rsidRDefault="00B41EE9" w:rsidP="00B41EE9">
      <w:pPr>
        <w:pStyle w:val="a5"/>
        <w:jc w:val="both"/>
        <w:rPr>
          <w:sz w:val="28"/>
          <w:szCs w:val="28"/>
        </w:rPr>
      </w:pPr>
      <w:r w:rsidRPr="00B41EE9">
        <w:rPr>
          <w:noProof/>
          <w:sz w:val="28"/>
          <w:szCs w:val="28"/>
        </w:rPr>
        <w:drawing>
          <wp:inline distT="0" distB="0" distL="0" distR="0" wp14:anchorId="173C759E" wp14:editId="0578F429">
            <wp:extent cx="6156960" cy="32918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3CCB" w:rsidRDefault="006E3CCB" w:rsidP="006E3CCB">
      <w:pPr>
        <w:pStyle w:val="a5"/>
        <w:jc w:val="both"/>
        <w:rPr>
          <w:sz w:val="28"/>
          <w:szCs w:val="28"/>
        </w:rPr>
      </w:pPr>
    </w:p>
    <w:p w:rsidR="00B41EE9" w:rsidRDefault="00B41EE9" w:rsidP="00B41EE9">
      <w:pPr>
        <w:jc w:val="right"/>
        <w:rPr>
          <w:sz w:val="28"/>
          <w:szCs w:val="28"/>
        </w:rPr>
      </w:pPr>
      <w:r w:rsidRPr="00B41EE9">
        <w:rPr>
          <w:noProof/>
          <w:sz w:val="28"/>
          <w:szCs w:val="28"/>
          <w:lang w:eastAsia="ru-RU"/>
        </w:rPr>
        <w:drawing>
          <wp:inline distT="0" distB="0" distL="0" distR="0" wp14:anchorId="776C662B" wp14:editId="1498751D">
            <wp:extent cx="6149340" cy="37947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5ADD" w:rsidRDefault="00337EEB" w:rsidP="001C5ADD">
      <w:pPr>
        <w:jc w:val="right"/>
        <w:rPr>
          <w:sz w:val="28"/>
          <w:szCs w:val="28"/>
        </w:rPr>
      </w:pPr>
      <w:r w:rsidRPr="00337EE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F22FD27" wp14:editId="0C56ACEB">
            <wp:extent cx="6152515" cy="3744595"/>
            <wp:effectExtent l="3810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5ADD" w:rsidRPr="005D11B7" w:rsidRDefault="00337EEB" w:rsidP="00337EEB">
      <w:pPr>
        <w:jc w:val="right"/>
        <w:rPr>
          <w:sz w:val="28"/>
          <w:szCs w:val="28"/>
        </w:rPr>
      </w:pPr>
      <w:r w:rsidRPr="00337EEB">
        <w:rPr>
          <w:noProof/>
          <w:sz w:val="28"/>
          <w:szCs w:val="28"/>
          <w:lang w:eastAsia="ru-RU"/>
        </w:rPr>
        <w:drawing>
          <wp:inline distT="0" distB="0" distL="0" distR="0" wp14:anchorId="26E8542F" wp14:editId="39F246D2">
            <wp:extent cx="6758940" cy="3825240"/>
            <wp:effectExtent l="0" t="0" r="381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0511" w:rsidRDefault="00DC66FA" w:rsidP="00C5611A">
      <w:pPr>
        <w:pStyle w:val="a5"/>
        <w:numPr>
          <w:ilvl w:val="0"/>
          <w:numId w:val="4"/>
        </w:numPr>
        <w:ind w:hanging="357"/>
        <w:jc w:val="both"/>
        <w:rPr>
          <w:sz w:val="28"/>
          <w:szCs w:val="28"/>
        </w:rPr>
      </w:pPr>
      <w:r w:rsidRPr="00241C98">
        <w:rPr>
          <w:b/>
          <w:sz w:val="28"/>
          <w:szCs w:val="28"/>
        </w:rPr>
        <w:t>Критерий 2-ой</w:t>
      </w:r>
      <w:r w:rsidRPr="00241C98">
        <w:rPr>
          <w:sz w:val="28"/>
          <w:szCs w:val="28"/>
        </w:rPr>
        <w:t xml:space="preserve"> связан с </w:t>
      </w:r>
      <w:r w:rsidR="00290511" w:rsidRPr="00241C98">
        <w:rPr>
          <w:sz w:val="28"/>
          <w:szCs w:val="28"/>
        </w:rPr>
        <w:t>качеств</w:t>
      </w:r>
      <w:r w:rsidRPr="00241C98">
        <w:rPr>
          <w:sz w:val="28"/>
          <w:szCs w:val="28"/>
        </w:rPr>
        <w:t>ом</w:t>
      </w:r>
      <w:r w:rsidR="00290511" w:rsidRPr="00241C98">
        <w:rPr>
          <w:sz w:val="28"/>
          <w:szCs w:val="28"/>
        </w:rPr>
        <w:t xml:space="preserve"> программно-методического обеспечения образовательного процесса. Этот критерий оценивается по показателям:</w:t>
      </w:r>
    </w:p>
    <w:p w:rsidR="00290511" w:rsidRPr="00241C98" w:rsidRDefault="00290511" w:rsidP="00AD774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наличие рецензий на образовательные программы,</w:t>
      </w:r>
    </w:p>
    <w:p w:rsidR="00290511" w:rsidRDefault="00290511" w:rsidP="00AD774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 xml:space="preserve">наличие дипломов победителей и призеров конкурсов образовательных программ на </w:t>
      </w:r>
      <w:r w:rsidR="00A24493">
        <w:rPr>
          <w:sz w:val="28"/>
          <w:szCs w:val="28"/>
        </w:rPr>
        <w:t>различных</w:t>
      </w:r>
      <w:r w:rsidRPr="00241C98">
        <w:rPr>
          <w:sz w:val="28"/>
          <w:szCs w:val="28"/>
        </w:rPr>
        <w:t xml:space="preserve"> уровнях.</w:t>
      </w:r>
    </w:p>
    <w:p w:rsidR="001C5ADD" w:rsidRDefault="001C5ADD" w:rsidP="001C5ADD">
      <w:pPr>
        <w:jc w:val="both"/>
        <w:rPr>
          <w:sz w:val="28"/>
          <w:szCs w:val="28"/>
        </w:rPr>
      </w:pPr>
    </w:p>
    <w:p w:rsidR="001C5ADD" w:rsidRDefault="00337EEB" w:rsidP="001C5ADD">
      <w:pPr>
        <w:jc w:val="both"/>
        <w:rPr>
          <w:sz w:val="28"/>
          <w:szCs w:val="28"/>
        </w:rPr>
      </w:pPr>
      <w:r w:rsidRPr="00337EE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35D5584" wp14:editId="7EA6530F">
            <wp:extent cx="6644640" cy="400812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5ADD" w:rsidRDefault="00337EEB" w:rsidP="00337EEB">
      <w:pPr>
        <w:jc w:val="center"/>
        <w:rPr>
          <w:sz w:val="28"/>
          <w:szCs w:val="28"/>
        </w:rPr>
      </w:pPr>
      <w:r w:rsidRPr="00337EEB">
        <w:rPr>
          <w:noProof/>
          <w:sz w:val="28"/>
          <w:szCs w:val="28"/>
          <w:lang w:eastAsia="ru-RU"/>
        </w:rPr>
        <w:drawing>
          <wp:inline distT="0" distB="0" distL="0" distR="0" wp14:anchorId="642AAFAD" wp14:editId="54A27842">
            <wp:extent cx="6492240" cy="359664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233C" w:rsidRPr="00241C98" w:rsidRDefault="005A49A0" w:rsidP="001C5AD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41C98">
        <w:rPr>
          <w:b/>
          <w:sz w:val="28"/>
          <w:szCs w:val="28"/>
        </w:rPr>
        <w:t>Критерий 3-ий</w:t>
      </w:r>
      <w:r w:rsidRPr="00241C98">
        <w:rPr>
          <w:sz w:val="28"/>
          <w:szCs w:val="28"/>
        </w:rPr>
        <w:t xml:space="preserve"> «К</w:t>
      </w:r>
      <w:r w:rsidR="0069233C" w:rsidRPr="00241C98">
        <w:rPr>
          <w:sz w:val="28"/>
          <w:szCs w:val="28"/>
        </w:rPr>
        <w:t>ачеств</w:t>
      </w:r>
      <w:r w:rsidRPr="00241C98">
        <w:rPr>
          <w:sz w:val="28"/>
          <w:szCs w:val="28"/>
        </w:rPr>
        <w:t>о</w:t>
      </w:r>
      <w:r w:rsidR="0069233C" w:rsidRPr="00241C98">
        <w:rPr>
          <w:sz w:val="28"/>
          <w:szCs w:val="28"/>
        </w:rPr>
        <w:t xml:space="preserve"> организации </w:t>
      </w:r>
      <w:r w:rsidR="007C49B8" w:rsidRPr="00241C98">
        <w:rPr>
          <w:sz w:val="28"/>
          <w:szCs w:val="28"/>
        </w:rPr>
        <w:t>образовательного процесса на основе использования современных образовательных технологий</w:t>
      </w:r>
      <w:r w:rsidRPr="00241C98">
        <w:rPr>
          <w:sz w:val="28"/>
          <w:szCs w:val="28"/>
        </w:rPr>
        <w:t>»</w:t>
      </w:r>
      <w:r w:rsidR="007C49B8" w:rsidRPr="00241C98">
        <w:rPr>
          <w:sz w:val="28"/>
          <w:szCs w:val="28"/>
        </w:rPr>
        <w:t>. Этот критерий оценивается по показателям:</w:t>
      </w:r>
    </w:p>
    <w:p w:rsidR="005A49A0" w:rsidRPr="00241C98" w:rsidRDefault="005A49A0" w:rsidP="005A49A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использование он-</w:t>
      </w:r>
      <w:proofErr w:type="spellStart"/>
      <w:r w:rsidRPr="00241C98">
        <w:rPr>
          <w:sz w:val="28"/>
          <w:szCs w:val="28"/>
        </w:rPr>
        <w:t>лайн</w:t>
      </w:r>
      <w:proofErr w:type="spellEnd"/>
      <w:r w:rsidRPr="00241C98">
        <w:rPr>
          <w:sz w:val="28"/>
          <w:szCs w:val="28"/>
        </w:rPr>
        <w:t xml:space="preserve"> взаимодействия с учащимися, </w:t>
      </w:r>
    </w:p>
    <w:p w:rsidR="007C49B8" w:rsidRPr="00241C98" w:rsidRDefault="007C49B8" w:rsidP="00AD774F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использование ИКТ в образовательном процессе,</w:t>
      </w:r>
    </w:p>
    <w:p w:rsidR="005A49A0" w:rsidRDefault="005A49A0" w:rsidP="005A49A0">
      <w:pPr>
        <w:pStyle w:val="a5"/>
        <w:numPr>
          <w:ilvl w:val="0"/>
          <w:numId w:val="7"/>
        </w:numPr>
        <w:ind w:hanging="357"/>
        <w:jc w:val="both"/>
        <w:rPr>
          <w:sz w:val="28"/>
          <w:szCs w:val="28"/>
        </w:rPr>
      </w:pPr>
      <w:r w:rsidRPr="00241C98">
        <w:rPr>
          <w:sz w:val="28"/>
          <w:szCs w:val="28"/>
        </w:rPr>
        <w:lastRenderedPageBreak/>
        <w:t xml:space="preserve">использование проектных, исследовательских, личностно-ориентированных, </w:t>
      </w:r>
      <w:proofErr w:type="spellStart"/>
      <w:r w:rsidRPr="00241C98">
        <w:rPr>
          <w:sz w:val="28"/>
          <w:szCs w:val="28"/>
        </w:rPr>
        <w:t>здоровьесберегающих</w:t>
      </w:r>
      <w:proofErr w:type="spellEnd"/>
      <w:r w:rsidRPr="00241C98">
        <w:rPr>
          <w:sz w:val="28"/>
          <w:szCs w:val="28"/>
        </w:rPr>
        <w:t xml:space="preserve"> и других технологий в образовате</w:t>
      </w:r>
      <w:r w:rsidR="00A24493">
        <w:rPr>
          <w:sz w:val="28"/>
          <w:szCs w:val="28"/>
        </w:rPr>
        <w:t>льном процессе школы «Развитие».</w:t>
      </w:r>
    </w:p>
    <w:p w:rsidR="00337EEB" w:rsidRDefault="00337EEB" w:rsidP="00337EEB">
      <w:pPr>
        <w:pStyle w:val="a5"/>
        <w:jc w:val="both"/>
        <w:rPr>
          <w:sz w:val="28"/>
          <w:szCs w:val="28"/>
        </w:rPr>
      </w:pPr>
    </w:p>
    <w:p w:rsidR="001C5ADD" w:rsidRPr="001C5ADD" w:rsidRDefault="00337EEB" w:rsidP="00337EEB">
      <w:pPr>
        <w:jc w:val="center"/>
        <w:rPr>
          <w:sz w:val="28"/>
          <w:szCs w:val="28"/>
        </w:rPr>
      </w:pPr>
      <w:r w:rsidRPr="00337EEB">
        <w:rPr>
          <w:noProof/>
          <w:sz w:val="28"/>
          <w:szCs w:val="28"/>
          <w:lang w:eastAsia="ru-RU"/>
        </w:rPr>
        <w:drawing>
          <wp:inline distT="0" distB="0" distL="0" distR="0" wp14:anchorId="6FE546D1" wp14:editId="49DAABE6">
            <wp:extent cx="6152515" cy="326199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2E66" w:rsidRPr="00241C98" w:rsidRDefault="005A49A0" w:rsidP="00AD77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41C98">
        <w:rPr>
          <w:b/>
          <w:sz w:val="28"/>
          <w:szCs w:val="28"/>
        </w:rPr>
        <w:t>Критерий 4-й «</w:t>
      </w:r>
      <w:r w:rsidRPr="00241C98">
        <w:rPr>
          <w:sz w:val="28"/>
          <w:szCs w:val="28"/>
        </w:rPr>
        <w:t>В</w:t>
      </w:r>
      <w:r w:rsidR="00212E66" w:rsidRPr="00241C98">
        <w:rPr>
          <w:sz w:val="28"/>
          <w:szCs w:val="28"/>
        </w:rPr>
        <w:t>клад педагогов школы «Развитие» в повышение качества образования оценивается по показателям:</w:t>
      </w:r>
    </w:p>
    <w:p w:rsidR="005A49A0" w:rsidRPr="00241C98" w:rsidRDefault="005A49A0" w:rsidP="005A49A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разработка и реализация педагогических проектов в области одаренности</w:t>
      </w:r>
      <w:r w:rsidR="00586340">
        <w:rPr>
          <w:sz w:val="28"/>
          <w:szCs w:val="28"/>
        </w:rPr>
        <w:t>,</w:t>
      </w:r>
    </w:p>
    <w:p w:rsidR="005A49A0" w:rsidRPr="00241C98" w:rsidRDefault="005A49A0" w:rsidP="005A49A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результативность участия в профессиональных конкурсах</w:t>
      </w:r>
      <w:r w:rsidR="00586340">
        <w:rPr>
          <w:sz w:val="28"/>
          <w:szCs w:val="28"/>
        </w:rPr>
        <w:t>,</w:t>
      </w:r>
    </w:p>
    <w:p w:rsidR="00212E66" w:rsidRPr="00241C98" w:rsidRDefault="00495745" w:rsidP="00AD774F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н</w:t>
      </w:r>
      <w:r w:rsidR="00212E66" w:rsidRPr="00241C98">
        <w:rPr>
          <w:sz w:val="28"/>
          <w:szCs w:val="28"/>
        </w:rPr>
        <w:t>аличие публикаций из опыта работы, опубликованных методических материалов</w:t>
      </w:r>
      <w:r w:rsidR="00586340">
        <w:rPr>
          <w:sz w:val="28"/>
          <w:szCs w:val="28"/>
        </w:rPr>
        <w:t>,</w:t>
      </w:r>
    </w:p>
    <w:p w:rsidR="005A49A0" w:rsidRDefault="005A49A0" w:rsidP="005A49A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41C98">
        <w:rPr>
          <w:sz w:val="28"/>
          <w:szCs w:val="28"/>
        </w:rPr>
        <w:t>представление опыта работы с одаренными и талантливыми детьми.</w:t>
      </w:r>
    </w:p>
    <w:p w:rsidR="00337EEB" w:rsidRDefault="00337EEB" w:rsidP="00337EEB">
      <w:pPr>
        <w:pStyle w:val="a5"/>
        <w:jc w:val="both"/>
        <w:rPr>
          <w:sz w:val="28"/>
          <w:szCs w:val="28"/>
        </w:rPr>
      </w:pPr>
    </w:p>
    <w:p w:rsidR="00CD6C9F" w:rsidRDefault="00337EEB" w:rsidP="00CD6C9F">
      <w:pPr>
        <w:jc w:val="right"/>
        <w:rPr>
          <w:sz w:val="28"/>
          <w:szCs w:val="28"/>
        </w:rPr>
      </w:pPr>
      <w:r w:rsidRPr="00337EEB">
        <w:rPr>
          <w:noProof/>
          <w:sz w:val="28"/>
          <w:szCs w:val="28"/>
          <w:lang w:eastAsia="ru-RU"/>
        </w:rPr>
        <w:drawing>
          <wp:inline distT="0" distB="0" distL="0" distR="0" wp14:anchorId="5B5D8F0B" wp14:editId="2F457EC0">
            <wp:extent cx="6156960" cy="325374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F137E" w:rsidRDefault="000E6E85" w:rsidP="00F11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C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Система мониторинга обеспечивает администрацию и педагогов своевременной информацией, необходимой для принятия управленческих решений. </w:t>
      </w:r>
      <w:r w:rsidR="00CF137E" w:rsidRPr="00241C98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F11CB1" w:rsidRPr="00241C9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A49A0" w:rsidRPr="00241C98">
        <w:rPr>
          <w:rFonts w:ascii="Times New Roman" w:hAnsi="Times New Roman" w:cs="Times New Roman"/>
          <w:sz w:val="28"/>
          <w:szCs w:val="28"/>
        </w:rPr>
        <w:t>становится понятно</w:t>
      </w:r>
      <w:r w:rsidR="00CF137E" w:rsidRPr="00241C98">
        <w:rPr>
          <w:rFonts w:ascii="Times New Roman" w:hAnsi="Times New Roman" w:cs="Times New Roman"/>
          <w:sz w:val="28"/>
          <w:szCs w:val="28"/>
        </w:rPr>
        <w:t>, насколько обучающиеся и родители довольны качеством образовательных услуг</w:t>
      </w:r>
      <w:r w:rsidR="00586340">
        <w:rPr>
          <w:rFonts w:ascii="Times New Roman" w:hAnsi="Times New Roman" w:cs="Times New Roman"/>
          <w:sz w:val="28"/>
          <w:szCs w:val="28"/>
        </w:rPr>
        <w:t xml:space="preserve">, </w:t>
      </w:r>
      <w:r w:rsidR="001F78BF" w:rsidRPr="00241C98">
        <w:rPr>
          <w:rFonts w:ascii="Times New Roman" w:hAnsi="Times New Roman" w:cs="Times New Roman"/>
          <w:sz w:val="28"/>
          <w:szCs w:val="28"/>
        </w:rPr>
        <w:t>эмоционально-психологич</w:t>
      </w:r>
      <w:r w:rsidR="00485BC0" w:rsidRPr="00241C98">
        <w:rPr>
          <w:rFonts w:ascii="Times New Roman" w:hAnsi="Times New Roman" w:cs="Times New Roman"/>
          <w:sz w:val="28"/>
          <w:szCs w:val="28"/>
        </w:rPr>
        <w:t>еским климатом и стилем общения</w:t>
      </w:r>
      <w:r w:rsidR="00586340" w:rsidRPr="00586340">
        <w:rPr>
          <w:rFonts w:ascii="Times New Roman" w:hAnsi="Times New Roman" w:cs="Times New Roman"/>
          <w:sz w:val="28"/>
          <w:szCs w:val="28"/>
        </w:rPr>
        <w:t xml:space="preserve"> </w:t>
      </w:r>
      <w:r w:rsidR="00586340" w:rsidRPr="00241C98">
        <w:rPr>
          <w:rFonts w:ascii="Times New Roman" w:hAnsi="Times New Roman" w:cs="Times New Roman"/>
          <w:sz w:val="28"/>
          <w:szCs w:val="28"/>
        </w:rPr>
        <w:t>в школе «Развитие»</w:t>
      </w:r>
      <w:r w:rsidR="00CF137E" w:rsidRPr="00241C98">
        <w:rPr>
          <w:rFonts w:ascii="Times New Roman" w:hAnsi="Times New Roman" w:cs="Times New Roman"/>
          <w:sz w:val="28"/>
          <w:szCs w:val="28"/>
        </w:rPr>
        <w:t>.</w:t>
      </w:r>
      <w:r w:rsidR="00485BC0" w:rsidRPr="00241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9F" w:rsidRPr="00241C98" w:rsidRDefault="003011C0" w:rsidP="00F11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E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F244E" wp14:editId="00909ABC">
            <wp:extent cx="6164580" cy="360426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6C9F" w:rsidRDefault="00CD6C9F" w:rsidP="003011C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85BC0" w:rsidRPr="00241C98" w:rsidRDefault="00CD6C9F" w:rsidP="00F11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Олимпиадный центр «Факел»</w:t>
      </w:r>
      <w:r w:rsidR="00485BC0" w:rsidRPr="00241C98">
        <w:rPr>
          <w:rFonts w:ascii="Times New Roman" w:hAnsi="Times New Roman" w:cs="Times New Roman"/>
          <w:sz w:val="28"/>
          <w:szCs w:val="28"/>
        </w:rPr>
        <w:t xml:space="preserve"> благотворно влияет на все результаты деятельности лицея.  </w:t>
      </w:r>
      <w:r w:rsidR="003A43C1" w:rsidRPr="00241C9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3A43C1" w:rsidRPr="00241C98">
        <w:rPr>
          <w:rFonts w:ascii="Times New Roman" w:hAnsi="Times New Roman" w:cs="Times New Roman"/>
          <w:sz w:val="28"/>
          <w:szCs w:val="28"/>
        </w:rPr>
        <w:t xml:space="preserve"> лет </w:t>
      </w:r>
      <w:r w:rsidR="00586340">
        <w:rPr>
          <w:rFonts w:ascii="Times New Roman" w:hAnsi="Times New Roman" w:cs="Times New Roman"/>
          <w:sz w:val="28"/>
          <w:szCs w:val="28"/>
        </w:rPr>
        <w:t xml:space="preserve">Северский </w:t>
      </w:r>
      <w:r w:rsidR="003A43C1" w:rsidRPr="00241C98">
        <w:rPr>
          <w:rFonts w:ascii="Times New Roman" w:hAnsi="Times New Roman" w:cs="Times New Roman"/>
          <w:sz w:val="28"/>
          <w:szCs w:val="28"/>
        </w:rPr>
        <w:t xml:space="preserve">лицей входит в тройку </w:t>
      </w:r>
      <w:r>
        <w:rPr>
          <w:rFonts w:ascii="Times New Roman" w:hAnsi="Times New Roman" w:cs="Times New Roman"/>
          <w:sz w:val="28"/>
          <w:szCs w:val="28"/>
        </w:rPr>
        <w:t>лучших ОО</w:t>
      </w:r>
      <w:r w:rsidR="00377E87" w:rsidRPr="00241C98">
        <w:rPr>
          <w:rFonts w:ascii="Times New Roman" w:hAnsi="Times New Roman" w:cs="Times New Roman"/>
          <w:sz w:val="28"/>
          <w:szCs w:val="28"/>
        </w:rPr>
        <w:t xml:space="preserve"> Томской области по результатам ЕГЭ. </w:t>
      </w:r>
      <w:r w:rsidR="00A86CB6">
        <w:rPr>
          <w:rFonts w:ascii="Times New Roman" w:hAnsi="Times New Roman" w:cs="Times New Roman"/>
          <w:sz w:val="28"/>
          <w:szCs w:val="28"/>
        </w:rPr>
        <w:t xml:space="preserve">Отмечены положительная динамика </w:t>
      </w:r>
      <w:r w:rsidR="00377E87" w:rsidRPr="00241C98">
        <w:rPr>
          <w:rFonts w:ascii="Times New Roman" w:hAnsi="Times New Roman" w:cs="Times New Roman"/>
          <w:sz w:val="28"/>
          <w:szCs w:val="28"/>
        </w:rPr>
        <w:t>учебн</w:t>
      </w:r>
      <w:r w:rsidR="00A86CB6">
        <w:rPr>
          <w:rFonts w:ascii="Times New Roman" w:hAnsi="Times New Roman" w:cs="Times New Roman"/>
          <w:sz w:val="28"/>
          <w:szCs w:val="28"/>
        </w:rPr>
        <w:t>ой</w:t>
      </w:r>
      <w:r w:rsidR="00377E87" w:rsidRPr="00241C98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A86CB6">
        <w:rPr>
          <w:rFonts w:ascii="Times New Roman" w:hAnsi="Times New Roman" w:cs="Times New Roman"/>
          <w:sz w:val="28"/>
          <w:szCs w:val="28"/>
        </w:rPr>
        <w:t>и</w:t>
      </w:r>
      <w:r w:rsidR="00377E87" w:rsidRPr="00241C98">
        <w:rPr>
          <w:rFonts w:ascii="Times New Roman" w:hAnsi="Times New Roman" w:cs="Times New Roman"/>
          <w:sz w:val="28"/>
          <w:szCs w:val="28"/>
        </w:rPr>
        <w:t xml:space="preserve"> лицеистов</w:t>
      </w:r>
      <w:r w:rsidR="00A24493">
        <w:rPr>
          <w:rFonts w:ascii="Times New Roman" w:hAnsi="Times New Roman" w:cs="Times New Roman"/>
          <w:sz w:val="28"/>
          <w:szCs w:val="28"/>
        </w:rPr>
        <w:t>,</w:t>
      </w:r>
      <w:r w:rsidR="00A86CB6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377E87" w:rsidRPr="00241C98">
        <w:rPr>
          <w:rFonts w:ascii="Times New Roman" w:hAnsi="Times New Roman" w:cs="Times New Roman"/>
          <w:sz w:val="28"/>
          <w:szCs w:val="28"/>
        </w:rPr>
        <w:t>отличников</w:t>
      </w:r>
      <w:r w:rsidR="00A24493">
        <w:rPr>
          <w:rFonts w:ascii="Times New Roman" w:hAnsi="Times New Roman" w:cs="Times New Roman"/>
          <w:sz w:val="28"/>
          <w:szCs w:val="28"/>
        </w:rPr>
        <w:t>, медалистов</w:t>
      </w:r>
      <w:r w:rsidR="00377E87" w:rsidRPr="00241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десяти лет Северский лицей удерживает первенство по результатам участия во Всероссийской олимпиаде школьников.</w:t>
      </w:r>
    </w:p>
    <w:p w:rsidR="000D02AB" w:rsidRPr="00241C98" w:rsidRDefault="009D7244" w:rsidP="009D7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244">
        <w:rPr>
          <w:rFonts w:ascii="Times New Roman" w:hAnsi="Times New Roman" w:cs="Times New Roman"/>
          <w:sz w:val="28"/>
          <w:szCs w:val="28"/>
        </w:rPr>
        <w:t>Свидетельством признания достижений педагогов и учащихся является включение имен 20 педагогов и 20 учащихся в энциклопедию «Одаренные дети – будущее России», включение Северского лицея в Национальный Реестр ведущих образовательных учреждений России, в число 100 лучших предприятий и организаций России, присвоение статуса «Ресурсно-внедренческий центр инноваций Томской области», победа в конкурсном отборе образовательных учреждений, внедряющих инновационные образовательные проекты.</w:t>
      </w:r>
      <w:proofErr w:type="gramEnd"/>
    </w:p>
    <w:sectPr w:rsidR="000D02AB" w:rsidRPr="00241C98" w:rsidSect="00485B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5" w:rsidRDefault="007012A5" w:rsidP="00F8058E">
      <w:pPr>
        <w:spacing w:after="0" w:line="240" w:lineRule="auto"/>
      </w:pPr>
      <w:r>
        <w:separator/>
      </w:r>
    </w:p>
  </w:endnote>
  <w:endnote w:type="continuationSeparator" w:id="0">
    <w:p w:rsidR="007012A5" w:rsidRDefault="007012A5" w:rsidP="00F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57" w:rsidRDefault="00F6395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57" w:rsidRDefault="00F6395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57" w:rsidRDefault="00F6395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5" w:rsidRDefault="007012A5" w:rsidP="00F8058E">
      <w:pPr>
        <w:spacing w:after="0" w:line="240" w:lineRule="auto"/>
      </w:pPr>
      <w:r>
        <w:separator/>
      </w:r>
    </w:p>
  </w:footnote>
  <w:footnote w:type="continuationSeparator" w:id="0">
    <w:p w:rsidR="007012A5" w:rsidRDefault="007012A5" w:rsidP="00F8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57" w:rsidRDefault="00F6395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57" w:rsidRDefault="00F6395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57" w:rsidRDefault="00F6395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56E"/>
    <w:multiLevelType w:val="hybridMultilevel"/>
    <w:tmpl w:val="1A8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16FC"/>
    <w:multiLevelType w:val="hybridMultilevel"/>
    <w:tmpl w:val="05640E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AB2181"/>
    <w:multiLevelType w:val="hybridMultilevel"/>
    <w:tmpl w:val="0246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7B8B"/>
    <w:multiLevelType w:val="hybridMultilevel"/>
    <w:tmpl w:val="434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DC010C"/>
    <w:multiLevelType w:val="hybridMultilevel"/>
    <w:tmpl w:val="A70A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7F5C"/>
    <w:multiLevelType w:val="hybridMultilevel"/>
    <w:tmpl w:val="77CA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30FCA"/>
    <w:multiLevelType w:val="hybridMultilevel"/>
    <w:tmpl w:val="434875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7E41DF"/>
    <w:multiLevelType w:val="hybridMultilevel"/>
    <w:tmpl w:val="AD8C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A6EA7"/>
    <w:multiLevelType w:val="hybridMultilevel"/>
    <w:tmpl w:val="49A841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7378C1"/>
    <w:multiLevelType w:val="hybridMultilevel"/>
    <w:tmpl w:val="BC3C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916"/>
    <w:rsid w:val="000033A9"/>
    <w:rsid w:val="000040D1"/>
    <w:rsid w:val="00005E4E"/>
    <w:rsid w:val="00005FCE"/>
    <w:rsid w:val="00010B05"/>
    <w:rsid w:val="000114F5"/>
    <w:rsid w:val="00016EE1"/>
    <w:rsid w:val="00021975"/>
    <w:rsid w:val="00034FE8"/>
    <w:rsid w:val="00036890"/>
    <w:rsid w:val="00036CAD"/>
    <w:rsid w:val="00040595"/>
    <w:rsid w:val="00041C8F"/>
    <w:rsid w:val="00046E8E"/>
    <w:rsid w:val="0004767E"/>
    <w:rsid w:val="000476F9"/>
    <w:rsid w:val="000561B5"/>
    <w:rsid w:val="00071226"/>
    <w:rsid w:val="00072A62"/>
    <w:rsid w:val="00075FAB"/>
    <w:rsid w:val="00076109"/>
    <w:rsid w:val="00082808"/>
    <w:rsid w:val="00083B81"/>
    <w:rsid w:val="00091983"/>
    <w:rsid w:val="00093578"/>
    <w:rsid w:val="000B1BC1"/>
    <w:rsid w:val="000B7956"/>
    <w:rsid w:val="000B7987"/>
    <w:rsid w:val="000C0485"/>
    <w:rsid w:val="000C3B54"/>
    <w:rsid w:val="000C3DF9"/>
    <w:rsid w:val="000C5743"/>
    <w:rsid w:val="000D02AB"/>
    <w:rsid w:val="000D2413"/>
    <w:rsid w:val="000D47AA"/>
    <w:rsid w:val="000D4FE8"/>
    <w:rsid w:val="000E6E85"/>
    <w:rsid w:val="000F33D0"/>
    <w:rsid w:val="000F3DB4"/>
    <w:rsid w:val="00101BCA"/>
    <w:rsid w:val="001066C4"/>
    <w:rsid w:val="001135E1"/>
    <w:rsid w:val="00120D9A"/>
    <w:rsid w:val="00120FCF"/>
    <w:rsid w:val="0012184F"/>
    <w:rsid w:val="0012451A"/>
    <w:rsid w:val="001313B6"/>
    <w:rsid w:val="0013298E"/>
    <w:rsid w:val="00144A61"/>
    <w:rsid w:val="001577A8"/>
    <w:rsid w:val="00161841"/>
    <w:rsid w:val="00171716"/>
    <w:rsid w:val="0017289F"/>
    <w:rsid w:val="00173796"/>
    <w:rsid w:val="00186EE1"/>
    <w:rsid w:val="001964B7"/>
    <w:rsid w:val="001A21D1"/>
    <w:rsid w:val="001B010B"/>
    <w:rsid w:val="001B0A4A"/>
    <w:rsid w:val="001C5832"/>
    <w:rsid w:val="001C5ADD"/>
    <w:rsid w:val="001D186B"/>
    <w:rsid w:val="001D3F4F"/>
    <w:rsid w:val="001D459E"/>
    <w:rsid w:val="001D4A20"/>
    <w:rsid w:val="001D5C8F"/>
    <w:rsid w:val="001D695A"/>
    <w:rsid w:val="001E5817"/>
    <w:rsid w:val="001F1385"/>
    <w:rsid w:val="001F34B0"/>
    <w:rsid w:val="001F34CE"/>
    <w:rsid w:val="001F40A5"/>
    <w:rsid w:val="001F4EE8"/>
    <w:rsid w:val="001F78BF"/>
    <w:rsid w:val="001F7CE8"/>
    <w:rsid w:val="001F7EFC"/>
    <w:rsid w:val="00203ADA"/>
    <w:rsid w:val="00204041"/>
    <w:rsid w:val="00204470"/>
    <w:rsid w:val="002079C4"/>
    <w:rsid w:val="00212E66"/>
    <w:rsid w:val="00213ADE"/>
    <w:rsid w:val="002175DD"/>
    <w:rsid w:val="002310EE"/>
    <w:rsid w:val="002341A5"/>
    <w:rsid w:val="00235DB0"/>
    <w:rsid w:val="00237EEF"/>
    <w:rsid w:val="00241C98"/>
    <w:rsid w:val="0024748B"/>
    <w:rsid w:val="002478C4"/>
    <w:rsid w:val="0025132C"/>
    <w:rsid w:val="00254D0E"/>
    <w:rsid w:val="00256118"/>
    <w:rsid w:val="00257ED3"/>
    <w:rsid w:val="002601F3"/>
    <w:rsid w:val="0026289E"/>
    <w:rsid w:val="00271168"/>
    <w:rsid w:val="002755D7"/>
    <w:rsid w:val="0028342E"/>
    <w:rsid w:val="00284625"/>
    <w:rsid w:val="00284E4F"/>
    <w:rsid w:val="0028613D"/>
    <w:rsid w:val="00287FDE"/>
    <w:rsid w:val="00290511"/>
    <w:rsid w:val="00290C72"/>
    <w:rsid w:val="002920F0"/>
    <w:rsid w:val="0029503B"/>
    <w:rsid w:val="002A0427"/>
    <w:rsid w:val="002A1485"/>
    <w:rsid w:val="002A283B"/>
    <w:rsid w:val="002A2C10"/>
    <w:rsid w:val="002A76B9"/>
    <w:rsid w:val="002B0581"/>
    <w:rsid w:val="002B478B"/>
    <w:rsid w:val="002B6D3E"/>
    <w:rsid w:val="002B76AC"/>
    <w:rsid w:val="002B7B7E"/>
    <w:rsid w:val="002C3C8F"/>
    <w:rsid w:val="002C4B9A"/>
    <w:rsid w:val="002C7B15"/>
    <w:rsid w:val="002D03A6"/>
    <w:rsid w:val="002D16F5"/>
    <w:rsid w:val="002D3129"/>
    <w:rsid w:val="002D4056"/>
    <w:rsid w:val="002D4CFF"/>
    <w:rsid w:val="002D4FC4"/>
    <w:rsid w:val="002D59D8"/>
    <w:rsid w:val="002D6C62"/>
    <w:rsid w:val="002D75B8"/>
    <w:rsid w:val="002E6160"/>
    <w:rsid w:val="002F05F5"/>
    <w:rsid w:val="002F2A12"/>
    <w:rsid w:val="002F3916"/>
    <w:rsid w:val="003011C0"/>
    <w:rsid w:val="003040AA"/>
    <w:rsid w:val="003059BA"/>
    <w:rsid w:val="00307988"/>
    <w:rsid w:val="00310C3A"/>
    <w:rsid w:val="0032287D"/>
    <w:rsid w:val="00325444"/>
    <w:rsid w:val="00325C43"/>
    <w:rsid w:val="00334828"/>
    <w:rsid w:val="00337EEB"/>
    <w:rsid w:val="00344EA7"/>
    <w:rsid w:val="003472E7"/>
    <w:rsid w:val="003553A6"/>
    <w:rsid w:val="00355B06"/>
    <w:rsid w:val="00360D86"/>
    <w:rsid w:val="003635F7"/>
    <w:rsid w:val="003659E5"/>
    <w:rsid w:val="00365D85"/>
    <w:rsid w:val="00366BDB"/>
    <w:rsid w:val="0037020A"/>
    <w:rsid w:val="00377E87"/>
    <w:rsid w:val="00385846"/>
    <w:rsid w:val="0038717F"/>
    <w:rsid w:val="003876AA"/>
    <w:rsid w:val="00392E8B"/>
    <w:rsid w:val="00394EA5"/>
    <w:rsid w:val="003A029C"/>
    <w:rsid w:val="003A1CC2"/>
    <w:rsid w:val="003A43C1"/>
    <w:rsid w:val="003A4AF0"/>
    <w:rsid w:val="003A687B"/>
    <w:rsid w:val="003B12B9"/>
    <w:rsid w:val="003B5831"/>
    <w:rsid w:val="003B5F2D"/>
    <w:rsid w:val="003C02E3"/>
    <w:rsid w:val="003C3501"/>
    <w:rsid w:val="003C7BBE"/>
    <w:rsid w:val="003D212F"/>
    <w:rsid w:val="003D4621"/>
    <w:rsid w:val="003E04BD"/>
    <w:rsid w:val="003E788C"/>
    <w:rsid w:val="003F69F3"/>
    <w:rsid w:val="0040011A"/>
    <w:rsid w:val="00402EBF"/>
    <w:rsid w:val="004114FF"/>
    <w:rsid w:val="004136ED"/>
    <w:rsid w:val="00414B5D"/>
    <w:rsid w:val="004164B4"/>
    <w:rsid w:val="00416BD2"/>
    <w:rsid w:val="0043343E"/>
    <w:rsid w:val="0043792A"/>
    <w:rsid w:val="00440A5E"/>
    <w:rsid w:val="0044186E"/>
    <w:rsid w:val="00445A02"/>
    <w:rsid w:val="00450352"/>
    <w:rsid w:val="004533F0"/>
    <w:rsid w:val="0045354B"/>
    <w:rsid w:val="00457C36"/>
    <w:rsid w:val="004612F9"/>
    <w:rsid w:val="00463B44"/>
    <w:rsid w:val="00466CD9"/>
    <w:rsid w:val="00467935"/>
    <w:rsid w:val="00470024"/>
    <w:rsid w:val="00471069"/>
    <w:rsid w:val="00473498"/>
    <w:rsid w:val="00474320"/>
    <w:rsid w:val="0047627B"/>
    <w:rsid w:val="0048005C"/>
    <w:rsid w:val="00484D2B"/>
    <w:rsid w:val="00485BC0"/>
    <w:rsid w:val="00490802"/>
    <w:rsid w:val="0049170C"/>
    <w:rsid w:val="00494AA8"/>
    <w:rsid w:val="00495745"/>
    <w:rsid w:val="00496780"/>
    <w:rsid w:val="00497306"/>
    <w:rsid w:val="004A7AC8"/>
    <w:rsid w:val="004B08FE"/>
    <w:rsid w:val="004B4F93"/>
    <w:rsid w:val="004B50EE"/>
    <w:rsid w:val="004C2CCE"/>
    <w:rsid w:val="004C6231"/>
    <w:rsid w:val="004D1725"/>
    <w:rsid w:val="004D1995"/>
    <w:rsid w:val="004D57AA"/>
    <w:rsid w:val="004D5A8B"/>
    <w:rsid w:val="004D768E"/>
    <w:rsid w:val="004F2658"/>
    <w:rsid w:val="004F2BD2"/>
    <w:rsid w:val="004F4942"/>
    <w:rsid w:val="004F5851"/>
    <w:rsid w:val="004F5B30"/>
    <w:rsid w:val="005009FA"/>
    <w:rsid w:val="005019F6"/>
    <w:rsid w:val="00501B0D"/>
    <w:rsid w:val="00503584"/>
    <w:rsid w:val="0050484E"/>
    <w:rsid w:val="00505F1B"/>
    <w:rsid w:val="0051081C"/>
    <w:rsid w:val="005122BD"/>
    <w:rsid w:val="00512DD7"/>
    <w:rsid w:val="005177A9"/>
    <w:rsid w:val="0052155C"/>
    <w:rsid w:val="0052277F"/>
    <w:rsid w:val="005262DD"/>
    <w:rsid w:val="00533936"/>
    <w:rsid w:val="00535DCE"/>
    <w:rsid w:val="005417A8"/>
    <w:rsid w:val="0054489F"/>
    <w:rsid w:val="00547E82"/>
    <w:rsid w:val="00554508"/>
    <w:rsid w:val="0055613F"/>
    <w:rsid w:val="00556774"/>
    <w:rsid w:val="00560C98"/>
    <w:rsid w:val="005652EF"/>
    <w:rsid w:val="00566A71"/>
    <w:rsid w:val="00573A89"/>
    <w:rsid w:val="00585CCF"/>
    <w:rsid w:val="00586340"/>
    <w:rsid w:val="00592729"/>
    <w:rsid w:val="005A04C8"/>
    <w:rsid w:val="005A49A0"/>
    <w:rsid w:val="005A4FE6"/>
    <w:rsid w:val="005B6ED5"/>
    <w:rsid w:val="005C18B9"/>
    <w:rsid w:val="005C43C7"/>
    <w:rsid w:val="005C7F6F"/>
    <w:rsid w:val="005D11B7"/>
    <w:rsid w:val="005D3804"/>
    <w:rsid w:val="005D53CB"/>
    <w:rsid w:val="005D5AAB"/>
    <w:rsid w:val="005D7CDD"/>
    <w:rsid w:val="005E0FF2"/>
    <w:rsid w:val="005E6DD0"/>
    <w:rsid w:val="00603487"/>
    <w:rsid w:val="0061066D"/>
    <w:rsid w:val="00611FAB"/>
    <w:rsid w:val="00611FDC"/>
    <w:rsid w:val="00614903"/>
    <w:rsid w:val="00615665"/>
    <w:rsid w:val="00625CED"/>
    <w:rsid w:val="006328C6"/>
    <w:rsid w:val="00635CFF"/>
    <w:rsid w:val="00642450"/>
    <w:rsid w:val="00645692"/>
    <w:rsid w:val="00645A8A"/>
    <w:rsid w:val="00651D2C"/>
    <w:rsid w:val="00651F7D"/>
    <w:rsid w:val="00653FF0"/>
    <w:rsid w:val="00661AF7"/>
    <w:rsid w:val="00663DCC"/>
    <w:rsid w:val="00670147"/>
    <w:rsid w:val="00670978"/>
    <w:rsid w:val="00675B3D"/>
    <w:rsid w:val="0067624E"/>
    <w:rsid w:val="00677D22"/>
    <w:rsid w:val="00683086"/>
    <w:rsid w:val="006831C2"/>
    <w:rsid w:val="00683708"/>
    <w:rsid w:val="00683D57"/>
    <w:rsid w:val="00684415"/>
    <w:rsid w:val="0068783F"/>
    <w:rsid w:val="006878A4"/>
    <w:rsid w:val="00687D67"/>
    <w:rsid w:val="0069233C"/>
    <w:rsid w:val="006A087D"/>
    <w:rsid w:val="006A65FD"/>
    <w:rsid w:val="006A6CBE"/>
    <w:rsid w:val="006A6CF0"/>
    <w:rsid w:val="006B31AB"/>
    <w:rsid w:val="006B6E2D"/>
    <w:rsid w:val="006C2916"/>
    <w:rsid w:val="006C4A2D"/>
    <w:rsid w:val="006D08DF"/>
    <w:rsid w:val="006D22C1"/>
    <w:rsid w:val="006D4FDE"/>
    <w:rsid w:val="006E0EFF"/>
    <w:rsid w:val="006E19D8"/>
    <w:rsid w:val="006E3CCB"/>
    <w:rsid w:val="006E446E"/>
    <w:rsid w:val="006E4661"/>
    <w:rsid w:val="006E4670"/>
    <w:rsid w:val="006E6340"/>
    <w:rsid w:val="006F2A62"/>
    <w:rsid w:val="006F4E77"/>
    <w:rsid w:val="006F5391"/>
    <w:rsid w:val="006F6074"/>
    <w:rsid w:val="006F6F2B"/>
    <w:rsid w:val="007012A5"/>
    <w:rsid w:val="00703C0B"/>
    <w:rsid w:val="00704511"/>
    <w:rsid w:val="00712DF1"/>
    <w:rsid w:val="00722E26"/>
    <w:rsid w:val="007376A3"/>
    <w:rsid w:val="00747200"/>
    <w:rsid w:val="00750F4A"/>
    <w:rsid w:val="00756628"/>
    <w:rsid w:val="00756D94"/>
    <w:rsid w:val="00756E1D"/>
    <w:rsid w:val="00767197"/>
    <w:rsid w:val="00772C5A"/>
    <w:rsid w:val="007766F9"/>
    <w:rsid w:val="00781CD9"/>
    <w:rsid w:val="007838EB"/>
    <w:rsid w:val="00783EB4"/>
    <w:rsid w:val="007906E1"/>
    <w:rsid w:val="00794746"/>
    <w:rsid w:val="00794BD8"/>
    <w:rsid w:val="007A62AE"/>
    <w:rsid w:val="007A70F1"/>
    <w:rsid w:val="007B5D09"/>
    <w:rsid w:val="007B7C3B"/>
    <w:rsid w:val="007C2A65"/>
    <w:rsid w:val="007C49B8"/>
    <w:rsid w:val="007C5CD5"/>
    <w:rsid w:val="007C7DCF"/>
    <w:rsid w:val="007D03FD"/>
    <w:rsid w:val="007D650E"/>
    <w:rsid w:val="007D68FF"/>
    <w:rsid w:val="007E3D57"/>
    <w:rsid w:val="007F090A"/>
    <w:rsid w:val="007F4051"/>
    <w:rsid w:val="007F626A"/>
    <w:rsid w:val="0080206C"/>
    <w:rsid w:val="008159BC"/>
    <w:rsid w:val="008228C5"/>
    <w:rsid w:val="00824D0A"/>
    <w:rsid w:val="00826B94"/>
    <w:rsid w:val="00835627"/>
    <w:rsid w:val="0083659C"/>
    <w:rsid w:val="00836B1D"/>
    <w:rsid w:val="00840BDE"/>
    <w:rsid w:val="00840ECB"/>
    <w:rsid w:val="00841E99"/>
    <w:rsid w:val="0084267A"/>
    <w:rsid w:val="008439FC"/>
    <w:rsid w:val="00845FE4"/>
    <w:rsid w:val="00851767"/>
    <w:rsid w:val="00853E42"/>
    <w:rsid w:val="0085633C"/>
    <w:rsid w:val="00861067"/>
    <w:rsid w:val="00862DDB"/>
    <w:rsid w:val="0087279F"/>
    <w:rsid w:val="008740B3"/>
    <w:rsid w:val="00875580"/>
    <w:rsid w:val="00876AB9"/>
    <w:rsid w:val="00876DAA"/>
    <w:rsid w:val="00876FC6"/>
    <w:rsid w:val="0087786A"/>
    <w:rsid w:val="0088067C"/>
    <w:rsid w:val="00881ED4"/>
    <w:rsid w:val="00895CC8"/>
    <w:rsid w:val="008A2249"/>
    <w:rsid w:val="008A65D7"/>
    <w:rsid w:val="008B05F0"/>
    <w:rsid w:val="008B5572"/>
    <w:rsid w:val="008B5D12"/>
    <w:rsid w:val="008B756E"/>
    <w:rsid w:val="008B7914"/>
    <w:rsid w:val="008B7C0D"/>
    <w:rsid w:val="008C19B8"/>
    <w:rsid w:val="008C3B25"/>
    <w:rsid w:val="008C3DAF"/>
    <w:rsid w:val="008C5F80"/>
    <w:rsid w:val="008E0B30"/>
    <w:rsid w:val="008E1BDB"/>
    <w:rsid w:val="008E443D"/>
    <w:rsid w:val="008E7112"/>
    <w:rsid w:val="008E72C1"/>
    <w:rsid w:val="008F2A95"/>
    <w:rsid w:val="00901DE3"/>
    <w:rsid w:val="009022B6"/>
    <w:rsid w:val="0091021B"/>
    <w:rsid w:val="0091079C"/>
    <w:rsid w:val="00911B27"/>
    <w:rsid w:val="00912277"/>
    <w:rsid w:val="009128B3"/>
    <w:rsid w:val="0092327E"/>
    <w:rsid w:val="0093334D"/>
    <w:rsid w:val="00935C48"/>
    <w:rsid w:val="0094088A"/>
    <w:rsid w:val="00944521"/>
    <w:rsid w:val="009453C2"/>
    <w:rsid w:val="00950F35"/>
    <w:rsid w:val="009513EA"/>
    <w:rsid w:val="00953722"/>
    <w:rsid w:val="00954A9B"/>
    <w:rsid w:val="00956ED6"/>
    <w:rsid w:val="0096155C"/>
    <w:rsid w:val="009634F6"/>
    <w:rsid w:val="00983633"/>
    <w:rsid w:val="00984596"/>
    <w:rsid w:val="00985405"/>
    <w:rsid w:val="00985D80"/>
    <w:rsid w:val="009876EC"/>
    <w:rsid w:val="009877BB"/>
    <w:rsid w:val="0099056D"/>
    <w:rsid w:val="009962B7"/>
    <w:rsid w:val="009A39A6"/>
    <w:rsid w:val="009A5452"/>
    <w:rsid w:val="009A5619"/>
    <w:rsid w:val="009B7679"/>
    <w:rsid w:val="009D39FF"/>
    <w:rsid w:val="009D51C9"/>
    <w:rsid w:val="009D7244"/>
    <w:rsid w:val="009E3BDD"/>
    <w:rsid w:val="009F11AE"/>
    <w:rsid w:val="009F7757"/>
    <w:rsid w:val="00A0322B"/>
    <w:rsid w:val="00A034C2"/>
    <w:rsid w:val="00A127D9"/>
    <w:rsid w:val="00A13C6B"/>
    <w:rsid w:val="00A1439F"/>
    <w:rsid w:val="00A161B0"/>
    <w:rsid w:val="00A17652"/>
    <w:rsid w:val="00A21C14"/>
    <w:rsid w:val="00A22668"/>
    <w:rsid w:val="00A23455"/>
    <w:rsid w:val="00A24343"/>
    <w:rsid w:val="00A24493"/>
    <w:rsid w:val="00A27494"/>
    <w:rsid w:val="00A320BF"/>
    <w:rsid w:val="00A332BB"/>
    <w:rsid w:val="00A364AF"/>
    <w:rsid w:val="00A40525"/>
    <w:rsid w:val="00A441A4"/>
    <w:rsid w:val="00A627DD"/>
    <w:rsid w:val="00A6634C"/>
    <w:rsid w:val="00A66E98"/>
    <w:rsid w:val="00A729BA"/>
    <w:rsid w:val="00A76341"/>
    <w:rsid w:val="00A82965"/>
    <w:rsid w:val="00A86CB6"/>
    <w:rsid w:val="00A90826"/>
    <w:rsid w:val="00A91D0B"/>
    <w:rsid w:val="00A93546"/>
    <w:rsid w:val="00A94018"/>
    <w:rsid w:val="00A946FE"/>
    <w:rsid w:val="00A95435"/>
    <w:rsid w:val="00A96734"/>
    <w:rsid w:val="00AA37DC"/>
    <w:rsid w:val="00AA39CC"/>
    <w:rsid w:val="00AA54F7"/>
    <w:rsid w:val="00AA7BF6"/>
    <w:rsid w:val="00AB2F9B"/>
    <w:rsid w:val="00AB346E"/>
    <w:rsid w:val="00AB3D57"/>
    <w:rsid w:val="00AB7B66"/>
    <w:rsid w:val="00AC18CA"/>
    <w:rsid w:val="00AC1F16"/>
    <w:rsid w:val="00AC4B03"/>
    <w:rsid w:val="00AC4B9B"/>
    <w:rsid w:val="00AC4D6C"/>
    <w:rsid w:val="00AC6070"/>
    <w:rsid w:val="00AC702A"/>
    <w:rsid w:val="00AD1EAE"/>
    <w:rsid w:val="00AD26C2"/>
    <w:rsid w:val="00AD3B3A"/>
    <w:rsid w:val="00AD526C"/>
    <w:rsid w:val="00AD774F"/>
    <w:rsid w:val="00AD7944"/>
    <w:rsid w:val="00AE5FBF"/>
    <w:rsid w:val="00AF0474"/>
    <w:rsid w:val="00AF7E93"/>
    <w:rsid w:val="00B03059"/>
    <w:rsid w:val="00B04812"/>
    <w:rsid w:val="00B05BE9"/>
    <w:rsid w:val="00B11B35"/>
    <w:rsid w:val="00B1372E"/>
    <w:rsid w:val="00B145B3"/>
    <w:rsid w:val="00B15CC6"/>
    <w:rsid w:val="00B2008F"/>
    <w:rsid w:val="00B224C0"/>
    <w:rsid w:val="00B30101"/>
    <w:rsid w:val="00B3372F"/>
    <w:rsid w:val="00B35719"/>
    <w:rsid w:val="00B370BE"/>
    <w:rsid w:val="00B41EE9"/>
    <w:rsid w:val="00B42EFA"/>
    <w:rsid w:val="00B475E2"/>
    <w:rsid w:val="00B535D0"/>
    <w:rsid w:val="00B54E68"/>
    <w:rsid w:val="00B55F87"/>
    <w:rsid w:val="00B61B5F"/>
    <w:rsid w:val="00B6269C"/>
    <w:rsid w:val="00B712D9"/>
    <w:rsid w:val="00B83792"/>
    <w:rsid w:val="00B84676"/>
    <w:rsid w:val="00B93821"/>
    <w:rsid w:val="00B94C0D"/>
    <w:rsid w:val="00B95585"/>
    <w:rsid w:val="00BA19BF"/>
    <w:rsid w:val="00BA2996"/>
    <w:rsid w:val="00BA347E"/>
    <w:rsid w:val="00BA5B19"/>
    <w:rsid w:val="00BA65C3"/>
    <w:rsid w:val="00BA6E2E"/>
    <w:rsid w:val="00BA7AF9"/>
    <w:rsid w:val="00BB1A01"/>
    <w:rsid w:val="00BB58E3"/>
    <w:rsid w:val="00BB6215"/>
    <w:rsid w:val="00BC2F6A"/>
    <w:rsid w:val="00BC7A44"/>
    <w:rsid w:val="00BD226B"/>
    <w:rsid w:val="00BD2A6F"/>
    <w:rsid w:val="00BD64D9"/>
    <w:rsid w:val="00BD6A0E"/>
    <w:rsid w:val="00BD6EAB"/>
    <w:rsid w:val="00BD7850"/>
    <w:rsid w:val="00BE0F08"/>
    <w:rsid w:val="00BE6817"/>
    <w:rsid w:val="00BE6DA7"/>
    <w:rsid w:val="00BF0720"/>
    <w:rsid w:val="00BF2708"/>
    <w:rsid w:val="00BF2C51"/>
    <w:rsid w:val="00BF39EC"/>
    <w:rsid w:val="00BF550D"/>
    <w:rsid w:val="00BF6752"/>
    <w:rsid w:val="00C05438"/>
    <w:rsid w:val="00C100D6"/>
    <w:rsid w:val="00C11B42"/>
    <w:rsid w:val="00C1657B"/>
    <w:rsid w:val="00C1685F"/>
    <w:rsid w:val="00C230F3"/>
    <w:rsid w:val="00C25EB4"/>
    <w:rsid w:val="00C31713"/>
    <w:rsid w:val="00C35A32"/>
    <w:rsid w:val="00C444FD"/>
    <w:rsid w:val="00C52087"/>
    <w:rsid w:val="00C5611A"/>
    <w:rsid w:val="00C56264"/>
    <w:rsid w:val="00C56747"/>
    <w:rsid w:val="00C56E86"/>
    <w:rsid w:val="00C60DB7"/>
    <w:rsid w:val="00C62F26"/>
    <w:rsid w:val="00C630A8"/>
    <w:rsid w:val="00C746F8"/>
    <w:rsid w:val="00C75D5F"/>
    <w:rsid w:val="00C83EF2"/>
    <w:rsid w:val="00C962BF"/>
    <w:rsid w:val="00C96A81"/>
    <w:rsid w:val="00CA73CC"/>
    <w:rsid w:val="00CC149C"/>
    <w:rsid w:val="00CC5123"/>
    <w:rsid w:val="00CC5F6A"/>
    <w:rsid w:val="00CD6220"/>
    <w:rsid w:val="00CD6C9F"/>
    <w:rsid w:val="00CE1961"/>
    <w:rsid w:val="00CE1ECE"/>
    <w:rsid w:val="00CE2E41"/>
    <w:rsid w:val="00CE43BC"/>
    <w:rsid w:val="00CE6063"/>
    <w:rsid w:val="00CE6B53"/>
    <w:rsid w:val="00CF137E"/>
    <w:rsid w:val="00CF309D"/>
    <w:rsid w:val="00D02A12"/>
    <w:rsid w:val="00D05BE1"/>
    <w:rsid w:val="00D1089C"/>
    <w:rsid w:val="00D12F8F"/>
    <w:rsid w:val="00D15D0F"/>
    <w:rsid w:val="00D16877"/>
    <w:rsid w:val="00D17F39"/>
    <w:rsid w:val="00D23351"/>
    <w:rsid w:val="00D23460"/>
    <w:rsid w:val="00D32B0C"/>
    <w:rsid w:val="00D32E54"/>
    <w:rsid w:val="00D3628D"/>
    <w:rsid w:val="00D502D1"/>
    <w:rsid w:val="00D51623"/>
    <w:rsid w:val="00D64F45"/>
    <w:rsid w:val="00D720E9"/>
    <w:rsid w:val="00D7279D"/>
    <w:rsid w:val="00D74E68"/>
    <w:rsid w:val="00D7698E"/>
    <w:rsid w:val="00D8761B"/>
    <w:rsid w:val="00D90573"/>
    <w:rsid w:val="00D922A3"/>
    <w:rsid w:val="00D9550F"/>
    <w:rsid w:val="00D95C29"/>
    <w:rsid w:val="00DA3F62"/>
    <w:rsid w:val="00DA621F"/>
    <w:rsid w:val="00DB1BDA"/>
    <w:rsid w:val="00DB7621"/>
    <w:rsid w:val="00DB7A87"/>
    <w:rsid w:val="00DC3EF0"/>
    <w:rsid w:val="00DC4688"/>
    <w:rsid w:val="00DC66FA"/>
    <w:rsid w:val="00DC6A41"/>
    <w:rsid w:val="00DC6AD9"/>
    <w:rsid w:val="00DC7959"/>
    <w:rsid w:val="00DD2F81"/>
    <w:rsid w:val="00DD5A48"/>
    <w:rsid w:val="00DE35DF"/>
    <w:rsid w:val="00DE3BD6"/>
    <w:rsid w:val="00DE4767"/>
    <w:rsid w:val="00DE5243"/>
    <w:rsid w:val="00DE6F24"/>
    <w:rsid w:val="00DE7791"/>
    <w:rsid w:val="00DF6558"/>
    <w:rsid w:val="00E00D0D"/>
    <w:rsid w:val="00E01D0B"/>
    <w:rsid w:val="00E03FD4"/>
    <w:rsid w:val="00E03FEC"/>
    <w:rsid w:val="00E119F8"/>
    <w:rsid w:val="00E12B44"/>
    <w:rsid w:val="00E12E66"/>
    <w:rsid w:val="00E132FE"/>
    <w:rsid w:val="00E221ED"/>
    <w:rsid w:val="00E24BB1"/>
    <w:rsid w:val="00E274BB"/>
    <w:rsid w:val="00E3311B"/>
    <w:rsid w:val="00E371B3"/>
    <w:rsid w:val="00E37DA9"/>
    <w:rsid w:val="00E5503F"/>
    <w:rsid w:val="00E57795"/>
    <w:rsid w:val="00E64BDE"/>
    <w:rsid w:val="00E66A2C"/>
    <w:rsid w:val="00E710C0"/>
    <w:rsid w:val="00E80D03"/>
    <w:rsid w:val="00E8224F"/>
    <w:rsid w:val="00E83F3C"/>
    <w:rsid w:val="00E874AE"/>
    <w:rsid w:val="00E90943"/>
    <w:rsid w:val="00E93DA4"/>
    <w:rsid w:val="00E9589A"/>
    <w:rsid w:val="00EA0EFA"/>
    <w:rsid w:val="00EA1736"/>
    <w:rsid w:val="00EB0FAE"/>
    <w:rsid w:val="00EB19C8"/>
    <w:rsid w:val="00EB3FDA"/>
    <w:rsid w:val="00EB6AAE"/>
    <w:rsid w:val="00EC09B5"/>
    <w:rsid w:val="00EC4D29"/>
    <w:rsid w:val="00ED1C3D"/>
    <w:rsid w:val="00ED270D"/>
    <w:rsid w:val="00ED5789"/>
    <w:rsid w:val="00EE0100"/>
    <w:rsid w:val="00EE1AEE"/>
    <w:rsid w:val="00EE3502"/>
    <w:rsid w:val="00EE7A34"/>
    <w:rsid w:val="00F00504"/>
    <w:rsid w:val="00F01585"/>
    <w:rsid w:val="00F03078"/>
    <w:rsid w:val="00F060A6"/>
    <w:rsid w:val="00F11049"/>
    <w:rsid w:val="00F11CB1"/>
    <w:rsid w:val="00F2192D"/>
    <w:rsid w:val="00F36F4D"/>
    <w:rsid w:val="00F41826"/>
    <w:rsid w:val="00F45826"/>
    <w:rsid w:val="00F45BCB"/>
    <w:rsid w:val="00F52A44"/>
    <w:rsid w:val="00F56D3B"/>
    <w:rsid w:val="00F63957"/>
    <w:rsid w:val="00F66C6E"/>
    <w:rsid w:val="00F6700C"/>
    <w:rsid w:val="00F711BD"/>
    <w:rsid w:val="00F75BED"/>
    <w:rsid w:val="00F8058E"/>
    <w:rsid w:val="00F80AB8"/>
    <w:rsid w:val="00F82BDB"/>
    <w:rsid w:val="00F85F04"/>
    <w:rsid w:val="00F914CC"/>
    <w:rsid w:val="00F916DB"/>
    <w:rsid w:val="00F93DAE"/>
    <w:rsid w:val="00FA0FB8"/>
    <w:rsid w:val="00FA2EE1"/>
    <w:rsid w:val="00FB4745"/>
    <w:rsid w:val="00FB4FDA"/>
    <w:rsid w:val="00FB57C1"/>
    <w:rsid w:val="00FB5A28"/>
    <w:rsid w:val="00FB667B"/>
    <w:rsid w:val="00FC2B52"/>
    <w:rsid w:val="00FC33CC"/>
    <w:rsid w:val="00FC778D"/>
    <w:rsid w:val="00FC77B5"/>
    <w:rsid w:val="00FD57C3"/>
    <w:rsid w:val="00FD5994"/>
    <w:rsid w:val="00FD7632"/>
    <w:rsid w:val="00FE1C18"/>
    <w:rsid w:val="00FE2BFD"/>
    <w:rsid w:val="00FE3B9C"/>
    <w:rsid w:val="00FF0A5E"/>
    <w:rsid w:val="00FF60E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2"/>
  </w:style>
  <w:style w:type="paragraph" w:styleId="3">
    <w:name w:val="heading 3"/>
    <w:basedOn w:val="a"/>
    <w:next w:val="a"/>
    <w:link w:val="30"/>
    <w:qFormat/>
    <w:rsid w:val="00FE3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A27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0C3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nhideWhenUsed/>
    <w:rsid w:val="00D05BE1"/>
    <w:rPr>
      <w:color w:val="0000FF"/>
      <w:u w:val="single"/>
    </w:rPr>
  </w:style>
  <w:style w:type="paragraph" w:styleId="a8">
    <w:name w:val="Body Text Indent"/>
    <w:basedOn w:val="a"/>
    <w:link w:val="a9"/>
    <w:rsid w:val="00954A9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4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66C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66C6E"/>
  </w:style>
  <w:style w:type="paragraph" w:styleId="ac">
    <w:name w:val="Balloon Text"/>
    <w:basedOn w:val="a"/>
    <w:link w:val="ad"/>
    <w:uiPriority w:val="99"/>
    <w:semiHidden/>
    <w:unhideWhenUsed/>
    <w:rsid w:val="00C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37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A76B9"/>
  </w:style>
  <w:style w:type="paragraph" w:customStyle="1" w:styleId="c11">
    <w:name w:val="c11"/>
    <w:basedOn w:val="a"/>
    <w:rsid w:val="002A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E0100"/>
  </w:style>
  <w:style w:type="character" w:customStyle="1" w:styleId="c33c7">
    <w:name w:val="c33 c7"/>
    <w:basedOn w:val="a0"/>
    <w:rsid w:val="00EE0100"/>
  </w:style>
  <w:style w:type="character" w:customStyle="1" w:styleId="Zag11">
    <w:name w:val="Zag_11"/>
    <w:rsid w:val="00EE0100"/>
  </w:style>
  <w:style w:type="character" w:customStyle="1" w:styleId="c2c7">
    <w:name w:val="c2 c7"/>
    <w:basedOn w:val="a0"/>
    <w:rsid w:val="007376A3"/>
  </w:style>
  <w:style w:type="paragraph" w:customStyle="1" w:styleId="ae">
    <w:name w:val="Знак Знак Знак Знак Знак Знак Знак Знак Знак Знак"/>
    <w:basedOn w:val="a"/>
    <w:rsid w:val="00FC2B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E3B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0E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58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466C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5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2">
    <w:name w:val="Light Shading Accent 2"/>
    <w:basedOn w:val="a1"/>
    <w:uiPriority w:val="60"/>
    <w:rsid w:val="00CE19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CE1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CE19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3">
    <w:name w:val="Medium Grid 1 Accent 3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f">
    <w:name w:val="Light Grid"/>
    <w:basedOn w:val="a1"/>
    <w:uiPriority w:val="62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-2">
    <w:name w:val="Medium Grid 3 Accent 2"/>
    <w:basedOn w:val="a1"/>
    <w:uiPriority w:val="69"/>
    <w:rsid w:val="00BB1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AA5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Grid Accent 4"/>
    <w:basedOn w:val="a1"/>
    <w:uiPriority w:val="62"/>
    <w:rsid w:val="00FA0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A320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List Accent 2"/>
    <w:basedOn w:val="a1"/>
    <w:uiPriority w:val="61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A32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Shading 1 Accent 4"/>
    <w:basedOn w:val="a1"/>
    <w:uiPriority w:val="63"/>
    <w:rsid w:val="008B0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Grid 2 Accent 2"/>
    <w:basedOn w:val="a1"/>
    <w:uiPriority w:val="68"/>
    <w:rsid w:val="005652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2">
    <w:name w:val="Colorful Shading Accent 2"/>
    <w:basedOn w:val="a1"/>
    <w:uiPriority w:val="71"/>
    <w:rsid w:val="00C16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Grid Accent 1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1">
    <w:name w:val="Colorful Grid Accent 3"/>
    <w:basedOn w:val="a1"/>
    <w:uiPriority w:val="73"/>
    <w:rsid w:val="00ED27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20">
    <w:name w:val="Medium Shading 2 Accent 2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4908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0">
    <w:name w:val="Colorful Shading Accent 4"/>
    <w:basedOn w:val="a1"/>
    <w:uiPriority w:val="71"/>
    <w:rsid w:val="004908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">
    <w:name w:val="Сетка таблицы2"/>
    <w:basedOn w:val="a1"/>
    <w:next w:val="a3"/>
    <w:rsid w:val="00F6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1"/>
    <w:uiPriority w:val="68"/>
    <w:rsid w:val="00D922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Light List Accent 6"/>
    <w:basedOn w:val="a1"/>
    <w:uiPriority w:val="61"/>
    <w:rsid w:val="00D92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1">
    <w:name w:val="Colorful Shading Accent 1"/>
    <w:basedOn w:val="a1"/>
    <w:uiPriority w:val="71"/>
    <w:rsid w:val="00046E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">
    <w:name w:val="Сетка таблицы3"/>
    <w:basedOn w:val="a1"/>
    <w:next w:val="a3"/>
    <w:rsid w:val="005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1"/>
    <w:uiPriority w:val="66"/>
    <w:rsid w:val="00651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2">
    <w:name w:val="Light List Accent 1"/>
    <w:basedOn w:val="a1"/>
    <w:uiPriority w:val="61"/>
    <w:rsid w:val="00651D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No Spacing"/>
    <w:link w:val="af1"/>
    <w:uiPriority w:val="1"/>
    <w:qFormat/>
    <w:rsid w:val="00A40525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A40525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058E"/>
  </w:style>
  <w:style w:type="paragraph" w:styleId="af4">
    <w:name w:val="footer"/>
    <w:basedOn w:val="a"/>
    <w:link w:val="af5"/>
    <w:uiPriority w:val="99"/>
    <w:unhideWhenUsed/>
    <w:rsid w:val="00F8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058E"/>
  </w:style>
  <w:style w:type="table" w:customStyle="1" w:styleId="4">
    <w:name w:val="Сетка таблицы4"/>
    <w:basedOn w:val="a1"/>
    <w:next w:val="a3"/>
    <w:uiPriority w:val="59"/>
    <w:rsid w:val="00A3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36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A27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Вовлеченность во внеурочную деятельность через центр «Факел»</a:t>
            </a:r>
          </a:p>
        </c:rich>
      </c:tx>
      <c:layout>
        <c:manualLayout>
          <c:xMode val="edge"/>
          <c:yMode val="edge"/>
          <c:x val="0.15486831020932948"/>
          <c:y val="1.533646020007438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Вовлеченность во внеурочную деятельность через центр "Факел"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35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754112"/>
        <c:axId val="119772288"/>
      </c:barChart>
      <c:catAx>
        <c:axId val="11975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72288"/>
        <c:crosses val="autoZero"/>
        <c:auto val="1"/>
        <c:lblAlgn val="ctr"/>
        <c:lblOffset val="100"/>
        <c:noMultiLvlLbl val="0"/>
      </c:catAx>
      <c:valAx>
        <c:axId val="11977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75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600"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06910660331034E-2"/>
          <c:y val="0.22841752926951547"/>
          <c:w val="0.55901836619864886"/>
          <c:h val="0.414199769972573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академических олимпиадах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24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неакадемических олимпиадах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36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0977664"/>
        <c:axId val="120463360"/>
        <c:axId val="119749248"/>
      </c:bar3DChart>
      <c:catAx>
        <c:axId val="12097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63360"/>
        <c:crosses val="autoZero"/>
        <c:auto val="1"/>
        <c:lblAlgn val="ctr"/>
        <c:lblOffset val="100"/>
        <c:noMultiLvlLbl val="0"/>
      </c:catAx>
      <c:valAx>
        <c:axId val="12046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77664"/>
        <c:crosses val="autoZero"/>
        <c:crossBetween val="between"/>
      </c:valAx>
      <c:serAx>
        <c:axId val="119749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0463360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>
              <a:solidFill>
                <a:schemeClr val="accent1">
                  <a:lumMod val="50000"/>
                </a:schemeClr>
              </a:solidFill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достижений в олимпиадах и конкурсах (количество дипломов)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</c:v>
                </c:pt>
                <c:pt idx="1">
                  <c:v>500</c:v>
                </c:pt>
                <c:pt idx="2">
                  <c:v>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образовательных событиях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конференциях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29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886016"/>
        <c:axId val="120887552"/>
        <c:axId val="120494272"/>
      </c:bar3DChart>
      <c:catAx>
        <c:axId val="12088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87552"/>
        <c:crosses val="autoZero"/>
        <c:auto val="1"/>
        <c:lblAlgn val="ctr"/>
        <c:lblOffset val="100"/>
        <c:noMultiLvlLbl val="0"/>
      </c:catAx>
      <c:valAx>
        <c:axId val="12088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86016"/>
        <c:crosses val="autoZero"/>
        <c:crossBetween val="between"/>
      </c:valAx>
      <c:serAx>
        <c:axId val="120494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20887552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600"/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>
                <a:solidFill>
                  <a:srgbClr val="C00000"/>
                </a:solidFill>
              </a:defRPr>
            </a:pPr>
            <a:r>
              <a:rPr lang="ru-RU" sz="2000" dirty="0"/>
              <a:t>Наличие рецензий на образовательные программы (в % от общего количества педагогов </a:t>
            </a:r>
            <a:r>
              <a:rPr lang="ru-RU" sz="2000" dirty="0" smtClean="0"/>
              <a:t>центра Факел")</a:t>
            </a:r>
            <a:endParaRPr lang="ru-RU" sz="2000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рецензий на образовательные программы (в % от общего количества педагогов центра "Факел")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43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872960"/>
        <c:axId val="120874496"/>
        <c:axId val="0"/>
      </c:bar3DChart>
      <c:catAx>
        <c:axId val="12087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74496"/>
        <c:crosses val="autoZero"/>
        <c:auto val="1"/>
        <c:lblAlgn val="ctr"/>
        <c:lblOffset val="100"/>
        <c:noMultiLvlLbl val="0"/>
      </c:catAx>
      <c:valAx>
        <c:axId val="12087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72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педагогов центра "Факел"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 конкурсов образовательных программ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301056"/>
        <c:axId val="122302848"/>
        <c:axId val="0"/>
      </c:bar3DChart>
      <c:catAx>
        <c:axId val="12230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02848"/>
        <c:crosses val="autoZero"/>
        <c:auto val="1"/>
        <c:lblAlgn val="ctr"/>
        <c:lblOffset val="100"/>
        <c:noMultiLvlLbl val="0"/>
      </c:catAx>
      <c:valAx>
        <c:axId val="12230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0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700206519560407E-2"/>
          <c:y val="4.1286447970427527E-2"/>
          <c:w val="0.63000381385485948"/>
          <c:h val="0.674605178549184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Он-лайн взаимодействие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Использование ИКТ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Использование проектно-исследовательских и др. технологий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627392"/>
        <c:axId val="123628928"/>
        <c:axId val="122292416"/>
      </c:bar3DChart>
      <c:catAx>
        <c:axId val="12362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28928"/>
        <c:crosses val="autoZero"/>
        <c:auto val="1"/>
        <c:lblAlgn val="ctr"/>
        <c:lblOffset val="100"/>
        <c:noMultiLvlLbl val="0"/>
      </c:catAx>
      <c:valAx>
        <c:axId val="1236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27392"/>
        <c:crosses val="autoZero"/>
        <c:crossBetween val="between"/>
      </c:valAx>
      <c:serAx>
        <c:axId val="122292416"/>
        <c:scaling>
          <c:orientation val="minMax"/>
        </c:scaling>
        <c:delete val="1"/>
        <c:axPos val="b"/>
        <c:majorTickMark val="out"/>
        <c:minorTickMark val="none"/>
        <c:tickLblPos val="nextTo"/>
        <c:crossAx val="123628928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Разработка и реализация педагогических проектов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Результативность участия в профессиональных конкурсах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Наличие публикаций по проблемам одаренности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36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Представление опыта работы с одаренными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2013-2014гг.</c:v>
                </c:pt>
                <c:pt idx="1">
                  <c:v>2014-2015гг.</c:v>
                </c:pt>
                <c:pt idx="2">
                  <c:v>2015-2016гг.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</c:v>
                </c:pt>
                <c:pt idx="1">
                  <c:v>31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862016"/>
        <c:axId val="122356480"/>
        <c:axId val="0"/>
      </c:bar3DChart>
      <c:catAx>
        <c:axId val="12386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56480"/>
        <c:crosses val="autoZero"/>
        <c:auto val="1"/>
        <c:lblAlgn val="ctr"/>
        <c:lblOffset val="100"/>
        <c:noMultiLvlLbl val="0"/>
      </c:catAx>
      <c:valAx>
        <c:axId val="12235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6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74523141290498"/>
          <c:y val="0"/>
          <c:w val="0.33839077310599547"/>
          <c:h val="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интенсивн.</c:v>
                </c:pt>
                <c:pt idx="1">
                  <c:v>эм-психол</c:v>
                </c:pt>
                <c:pt idx="2">
                  <c:v>удовлетв</c:v>
                </c:pt>
                <c:pt idx="3">
                  <c:v>демокр</c:v>
                </c:pt>
                <c:pt idx="4">
                  <c:v>мотивац</c:v>
                </c:pt>
                <c:pt idx="5">
                  <c:v>качество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8</c:v>
                </c:pt>
                <c:pt idx="2">
                  <c:v>6</c:v>
                </c:pt>
                <c:pt idx="3">
                  <c:v>8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интенсивн.</c:v>
                </c:pt>
                <c:pt idx="1">
                  <c:v>эм-психол</c:v>
                </c:pt>
                <c:pt idx="2">
                  <c:v>удовлетв</c:v>
                </c:pt>
                <c:pt idx="3">
                  <c:v>демокр</c:v>
                </c:pt>
                <c:pt idx="4">
                  <c:v>мотивац</c:v>
                </c:pt>
                <c:pt idx="5">
                  <c:v>качество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45</c:v>
                </c:pt>
                <c:pt idx="4">
                  <c:v>40</c:v>
                </c:pt>
                <c:pt idx="5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интенсивн.</c:v>
                </c:pt>
                <c:pt idx="1">
                  <c:v>эм-психол</c:v>
                </c:pt>
                <c:pt idx="2">
                  <c:v>удовлетв</c:v>
                </c:pt>
                <c:pt idx="3">
                  <c:v>демокр</c:v>
                </c:pt>
                <c:pt idx="4">
                  <c:v>мотивац</c:v>
                </c:pt>
                <c:pt idx="5">
                  <c:v>качество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70</c:v>
                </c:pt>
                <c:pt idx="1">
                  <c:v>52</c:v>
                </c:pt>
                <c:pt idx="2">
                  <c:v>74</c:v>
                </c:pt>
                <c:pt idx="3">
                  <c:v>47</c:v>
                </c:pt>
                <c:pt idx="4">
                  <c:v>55</c:v>
                </c:pt>
                <c:pt idx="5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362496"/>
        <c:axId val="123801984"/>
        <c:axId val="0"/>
      </c:bar3DChart>
      <c:catAx>
        <c:axId val="12236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801984"/>
        <c:crosses val="autoZero"/>
        <c:auto val="1"/>
        <c:lblAlgn val="ctr"/>
        <c:lblOffset val="100"/>
        <c:noMultiLvlLbl val="0"/>
      </c:catAx>
      <c:valAx>
        <c:axId val="1238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6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0.13008</cdr:x>
      <cdr:y>0</cdr:y>
    </cdr:from>
    <cdr:to>
      <cdr:x>0.92683</cdr:x>
      <cdr:y>0.29762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9906" y="0"/>
          <a:ext cx="4899487" cy="1009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ru-RU" sz="2400" b="1" dirty="0" smtClean="0">
              <a:solidFill>
                <a:schemeClr val="accent1">
                  <a:lumMod val="50000"/>
                </a:schemeClr>
              </a:solidFill>
            </a:rPr>
            <a:t>Динамика участия в олимпиадах </a:t>
          </a:r>
        </a:p>
        <a:p xmlns:a="http://schemas.openxmlformats.org/drawingml/2006/main">
          <a:pPr algn="r"/>
          <a:r>
            <a:rPr lang="ru-RU" sz="2400" b="1" dirty="0" smtClean="0">
              <a:solidFill>
                <a:schemeClr val="accent1">
                  <a:lumMod val="50000"/>
                </a:schemeClr>
              </a:solidFill>
            </a:rPr>
            <a:t>(в % от общего количества обучающихся </a:t>
          </a:r>
        </a:p>
        <a:p xmlns:a="http://schemas.openxmlformats.org/drawingml/2006/main">
          <a:pPr algn="r"/>
          <a:r>
            <a:rPr lang="ru-RU" sz="2400" b="1" dirty="0">
              <a:solidFill>
                <a:schemeClr val="accent1">
                  <a:lumMod val="50000"/>
                </a:schemeClr>
              </a:solidFill>
            </a:rPr>
            <a:t>1</a:t>
          </a:r>
          <a:r>
            <a:rPr lang="ru-RU" sz="2400" b="1" dirty="0" smtClean="0">
              <a:solidFill>
                <a:schemeClr val="accent1">
                  <a:lumMod val="50000"/>
                </a:schemeClr>
              </a:solidFill>
            </a:rPr>
            <a:t>-11 классов)</a:t>
          </a:r>
          <a:endParaRPr lang="ru-RU" sz="2400" b="1" dirty="0">
            <a:solidFill>
              <a:schemeClr val="accent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0.13676</cdr:x>
      <cdr:y>0</cdr:y>
    </cdr:from>
    <cdr:to>
      <cdr:x>1</cdr:x>
      <cdr:y>0.20822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4353" y="0"/>
          <a:ext cx="5834587" cy="8615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800" b="1" dirty="0" smtClean="0">
              <a:solidFill>
                <a:schemeClr val="accent1">
                  <a:lumMod val="50000"/>
                </a:schemeClr>
              </a:solidFill>
            </a:rPr>
            <a:t>Динамика участия в образовательных событиях и конференциях </a:t>
          </a:r>
        </a:p>
        <a:p xmlns:a="http://schemas.openxmlformats.org/drawingml/2006/main">
          <a:pPr algn="r"/>
          <a:r>
            <a:rPr lang="ru-RU" sz="1800" b="1" dirty="0" smtClean="0">
              <a:solidFill>
                <a:schemeClr val="accent1">
                  <a:lumMod val="50000"/>
                </a:schemeClr>
              </a:solidFill>
            </a:rPr>
            <a:t>(в % от общего количества обучающихся 1-11 классов)</a:t>
          </a:r>
          <a:endParaRPr lang="ru-RU" sz="1800" b="1" dirty="0">
            <a:solidFill>
              <a:schemeClr val="accent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Северск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76948-2A42-4852-A08B-A9598453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6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ИННОВАЦИОННЫЙ ОБРАЗОВАТЕЛЬНЫЙ ПРОЕКТ «ИНТЕЛЛЕКТУАЛЬНО-ТВОРЧЕСКАЯ ШКОЛА «РАЗВИТИЕ» КАК ПРОСТРАНСТВО ВЫЯВЛЕНИЯ, ПОДДЕРЖКИ И СОПРОВОЖДЕНИЯ ОДАРЕННЫХ И ТАЛАНТЛИВЫХ ДЕТЕЙ»</vt:lpstr>
    </vt:vector>
  </TitlesOfParts>
  <Company>МУНИЦИПАЛЬНОЕ БЮДЖЕТНОЕ ОБЩЕОБРАЗОВАТЕЛЬНОЕ УЧРЕЖДЕНИЕ «СЕВЕРСКИЙ ЛИЦЕЙ»                                                  (МБОУ «Северский лицей») ЗАТО Северск Томской области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ОБРАЗОВАТЕЛЬНЫЙ ПРОЕКТ «ИНТЕЛЛЕКТУАЛЬНО-ТВОРЧЕСКАЯ ШКОЛА «РАЗВИТИЕ» КАК ПРОСТРАНСТВО ВЫЯВЛЕНИЯ, ПОДДЕРЖКИ И СОПРОВОЖДЕНИЯ ОДАРЕННЫХ И ТАЛАНТЛИВЫХ ДЕТЕЙ»</dc:title>
  <dc:subject>Руководитель проекта – Черепанова Т.Б., ученый секретарь ФГНУ «ИРОС» РАО, доцент,             кандидат педагогических наук</dc:subject>
  <dc:creator>Алена Александровна</dc:creator>
  <cp:keywords/>
  <dc:description/>
  <cp:lastModifiedBy>User</cp:lastModifiedBy>
  <cp:revision>554</cp:revision>
  <cp:lastPrinted>2013-10-28T07:15:00Z</cp:lastPrinted>
  <dcterms:created xsi:type="dcterms:W3CDTF">2013-09-12T07:04:00Z</dcterms:created>
  <dcterms:modified xsi:type="dcterms:W3CDTF">2017-02-06T10:04:00Z</dcterms:modified>
</cp:coreProperties>
</file>